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4B599" w14:textId="77777777" w:rsidR="007E7345" w:rsidRPr="00906058" w:rsidRDefault="007E7345" w:rsidP="0093799E">
      <w:pPr>
        <w:spacing w:after="200"/>
        <w:jc w:val="center"/>
        <w:rPr>
          <w:rFonts w:ascii="Arial" w:hAnsi="Arial" w:cs="Arial"/>
          <w:b/>
          <w:sz w:val="20"/>
          <w:szCs w:val="20"/>
        </w:rPr>
      </w:pPr>
      <w:bookmarkStart w:id="0" w:name="_Toc214886731"/>
      <w:bookmarkStart w:id="1" w:name="_Toc216764137"/>
      <w:bookmarkStart w:id="2" w:name="_GoBack"/>
      <w:bookmarkEnd w:id="2"/>
      <w:r w:rsidRPr="00906058">
        <w:rPr>
          <w:noProof/>
          <w:lang w:val="fr-BE" w:eastAsia="fr-BE"/>
        </w:rPr>
        <w:drawing>
          <wp:inline distT="0" distB="0" distL="0" distR="0" wp14:anchorId="1C0EED31" wp14:editId="03AE3716">
            <wp:extent cx="2115185" cy="771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058">
        <w:rPr>
          <w:noProof/>
        </w:rPr>
        <w:br/>
      </w:r>
      <w:r w:rsidRPr="00906058">
        <w:rPr>
          <w:rFonts w:ascii="Arial" w:hAnsi="Arial" w:cs="Arial"/>
          <w:b/>
        </w:rPr>
        <w:t>Statistical Working Group</w:t>
      </w:r>
      <w:r w:rsidRPr="00906058">
        <w:rPr>
          <w:rFonts w:ascii="Arial" w:hAnsi="Arial" w:cs="Arial"/>
          <w:b/>
        </w:rPr>
        <w:br/>
      </w:r>
      <w:r w:rsidRPr="00906058">
        <w:rPr>
          <w:rFonts w:ascii="Arial" w:hAnsi="Arial" w:cs="Arial"/>
          <w:b/>
          <w:sz w:val="20"/>
          <w:szCs w:val="20"/>
        </w:rPr>
        <w:t>Statistical Guidelines</w:t>
      </w:r>
    </w:p>
    <w:p w14:paraId="392770E5" w14:textId="77777777" w:rsidR="007E7345" w:rsidRPr="00906058" w:rsidRDefault="007E7345" w:rsidP="00756D0F">
      <w:pPr>
        <w:tabs>
          <w:tab w:val="decimal" w:leader="underscore" w:pos="9072"/>
        </w:tabs>
        <w:spacing w:before="960" w:after="200"/>
        <w:rPr>
          <w:rFonts w:ascii="Calibri" w:hAnsi="Calibri"/>
          <w:b/>
          <w:sz w:val="36"/>
          <w:szCs w:val="36"/>
        </w:rPr>
      </w:pPr>
      <w:r w:rsidRPr="00906058">
        <w:rPr>
          <w:b/>
          <w:sz w:val="36"/>
          <w:szCs w:val="36"/>
        </w:rPr>
        <w:tab/>
      </w:r>
    </w:p>
    <w:p w14:paraId="607FA15D" w14:textId="77777777" w:rsidR="00093813" w:rsidRDefault="007E7345" w:rsidP="00093813">
      <w:pPr>
        <w:spacing w:before="360" w:after="12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06058">
        <w:rPr>
          <w:rFonts w:ascii="Arial" w:hAnsi="Arial" w:cs="Arial"/>
          <w:b/>
          <w:sz w:val="28"/>
          <w:szCs w:val="28"/>
        </w:rPr>
        <w:t>CL_</w:t>
      </w:r>
      <w:r w:rsidR="00603BE5" w:rsidRPr="00906058">
        <w:rPr>
          <w:rFonts w:ascii="Arial" w:hAnsi="Arial" w:cs="Arial"/>
          <w:b/>
          <w:sz w:val="28"/>
          <w:szCs w:val="28"/>
        </w:rPr>
        <w:t>STATISTICAL</w:t>
      </w:r>
      <w:r w:rsidR="009272B8" w:rsidRPr="00906058">
        <w:rPr>
          <w:rFonts w:ascii="Arial" w:hAnsi="Arial" w:cs="Arial"/>
          <w:b/>
          <w:sz w:val="28"/>
          <w:szCs w:val="28"/>
        </w:rPr>
        <w:t>_</w:t>
      </w:r>
      <w:r w:rsidR="00603BE5" w:rsidRPr="00906058">
        <w:rPr>
          <w:rFonts w:ascii="Arial" w:hAnsi="Arial" w:cs="Arial"/>
          <w:b/>
          <w:sz w:val="28"/>
          <w:szCs w:val="28"/>
        </w:rPr>
        <w:t>OPERATION</w:t>
      </w:r>
      <w:r w:rsidRPr="00906058">
        <w:rPr>
          <w:rFonts w:ascii="Arial" w:hAnsi="Arial" w:cs="Arial"/>
          <w:b/>
          <w:sz w:val="28"/>
          <w:szCs w:val="28"/>
        </w:rPr>
        <w:br/>
        <w:t>Code list for</w:t>
      </w:r>
      <w:r w:rsidR="00760D7C">
        <w:rPr>
          <w:rFonts w:ascii="Arial" w:hAnsi="Arial" w:cs="Arial"/>
          <w:b/>
          <w:sz w:val="28"/>
          <w:szCs w:val="28"/>
        </w:rPr>
        <w:t xml:space="preserve"> statistical</w:t>
      </w:r>
      <w:r w:rsidR="00B17F10" w:rsidRPr="00906058">
        <w:rPr>
          <w:rFonts w:ascii="Arial" w:hAnsi="Arial" w:cs="Arial"/>
          <w:b/>
          <w:sz w:val="28"/>
          <w:szCs w:val="28"/>
        </w:rPr>
        <w:t xml:space="preserve"> </w:t>
      </w:r>
      <w:r w:rsidR="00760D7C">
        <w:rPr>
          <w:rFonts w:ascii="Arial" w:hAnsi="Arial" w:cs="Arial"/>
          <w:b/>
          <w:sz w:val="28"/>
          <w:szCs w:val="28"/>
        </w:rPr>
        <w:t xml:space="preserve">operation performed on </w:t>
      </w:r>
      <w:r w:rsidR="009101BE">
        <w:rPr>
          <w:rFonts w:ascii="Arial" w:hAnsi="Arial" w:cs="Arial"/>
          <w:b/>
          <w:sz w:val="28"/>
          <w:szCs w:val="28"/>
        </w:rPr>
        <w:t>data</w:t>
      </w:r>
    </w:p>
    <w:p w14:paraId="07CC8402" w14:textId="2C6C2B3D" w:rsidR="007E7345" w:rsidRPr="00906058" w:rsidRDefault="007E7345" w:rsidP="00093813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06058">
        <w:rPr>
          <w:rFonts w:ascii="Arial" w:hAnsi="Arial" w:cs="Arial"/>
          <w:b/>
          <w:sz w:val="28"/>
          <w:szCs w:val="28"/>
        </w:rPr>
        <w:t>Version 1</w:t>
      </w:r>
      <w:r w:rsidR="00BD1F99" w:rsidRPr="00906058">
        <w:rPr>
          <w:rFonts w:ascii="Arial" w:hAnsi="Arial" w:cs="Arial"/>
          <w:b/>
          <w:sz w:val="28"/>
          <w:szCs w:val="28"/>
        </w:rPr>
        <w:t>.0</w:t>
      </w:r>
      <w:r w:rsidRPr="00906058">
        <w:rPr>
          <w:rFonts w:ascii="Arial" w:hAnsi="Arial" w:cs="Arial"/>
          <w:b/>
          <w:sz w:val="28"/>
          <w:szCs w:val="28"/>
        </w:rPr>
        <w:t xml:space="preserve"> – </w:t>
      </w:r>
      <w:r w:rsidR="00962FAE">
        <w:rPr>
          <w:rFonts w:ascii="Arial" w:hAnsi="Arial" w:cs="Arial"/>
          <w:b/>
          <w:sz w:val="28"/>
          <w:szCs w:val="28"/>
        </w:rPr>
        <w:t>09</w:t>
      </w:r>
      <w:r w:rsidR="00BD1F99" w:rsidRPr="00906058">
        <w:rPr>
          <w:rFonts w:ascii="Arial" w:hAnsi="Arial" w:cs="Arial"/>
          <w:b/>
          <w:sz w:val="28"/>
          <w:szCs w:val="28"/>
        </w:rPr>
        <w:t>/</w:t>
      </w:r>
      <w:r w:rsidR="00313782" w:rsidRPr="00906058">
        <w:rPr>
          <w:rFonts w:ascii="Arial" w:hAnsi="Arial" w:cs="Arial"/>
          <w:b/>
          <w:sz w:val="28"/>
          <w:szCs w:val="28"/>
        </w:rPr>
        <w:t>0</w:t>
      </w:r>
      <w:r w:rsidR="00962FAE">
        <w:rPr>
          <w:rFonts w:ascii="Arial" w:hAnsi="Arial" w:cs="Arial"/>
          <w:b/>
          <w:sz w:val="28"/>
          <w:szCs w:val="28"/>
        </w:rPr>
        <w:t>6</w:t>
      </w:r>
      <w:r w:rsidR="00BD1F99" w:rsidRPr="00906058">
        <w:rPr>
          <w:rFonts w:ascii="Arial" w:hAnsi="Arial" w:cs="Arial"/>
          <w:b/>
          <w:sz w:val="28"/>
          <w:szCs w:val="28"/>
        </w:rPr>
        <w:t>/202</w:t>
      </w:r>
      <w:r w:rsidR="003B5685">
        <w:rPr>
          <w:rFonts w:ascii="Arial" w:hAnsi="Arial" w:cs="Arial"/>
          <w:b/>
          <w:sz w:val="28"/>
          <w:szCs w:val="28"/>
        </w:rPr>
        <w:t>3</w:t>
      </w:r>
    </w:p>
    <w:p w14:paraId="4BF0E60A" w14:textId="77777777" w:rsidR="007E7345" w:rsidRPr="00906058" w:rsidRDefault="007E7345" w:rsidP="00093813">
      <w:pPr>
        <w:tabs>
          <w:tab w:val="decimal" w:leader="underscore" w:pos="9072"/>
        </w:tabs>
        <w:spacing w:after="480"/>
        <w:rPr>
          <w:rFonts w:ascii="Calibri" w:hAnsi="Calibri"/>
          <w:b/>
          <w:sz w:val="36"/>
          <w:szCs w:val="36"/>
        </w:rPr>
      </w:pPr>
      <w:r w:rsidRPr="00906058">
        <w:rPr>
          <w:b/>
          <w:sz w:val="36"/>
          <w:szCs w:val="36"/>
        </w:rPr>
        <w:tab/>
      </w:r>
    </w:p>
    <w:bookmarkEnd w:id="0"/>
    <w:bookmarkEnd w:id="1"/>
    <w:p w14:paraId="5FEA2BC0" w14:textId="77777777" w:rsidR="00765FD2" w:rsidRPr="007B53B0" w:rsidRDefault="00F348A8" w:rsidP="007B53B0">
      <w:pPr>
        <w:pStyle w:val="Heading1"/>
        <w:rPr>
          <w:rStyle w:val="Strong"/>
          <w:b w:val="0"/>
          <w:bCs w:val="0"/>
        </w:rPr>
      </w:pPr>
      <w:r w:rsidRPr="007B53B0">
        <w:rPr>
          <w:rStyle w:val="Strong"/>
          <w:b w:val="0"/>
          <w:bCs w:val="0"/>
        </w:rPr>
        <w:t>Name</w:t>
      </w:r>
    </w:p>
    <w:p w14:paraId="271E805E" w14:textId="6AB29424" w:rsidR="00F348A8" w:rsidRPr="00382049" w:rsidRDefault="00AD024F" w:rsidP="00093813">
      <w:pPr>
        <w:pStyle w:val="style1"/>
        <w:spacing w:before="120" w:beforeAutospacing="0" w:after="120" w:afterAutospacing="0"/>
        <w:jc w:val="both"/>
        <w:rPr>
          <w:b/>
          <w:bCs/>
        </w:rPr>
      </w:pPr>
      <w:r w:rsidRPr="00906058">
        <w:rPr>
          <w:sz w:val="22"/>
        </w:rPr>
        <w:t xml:space="preserve">Code </w:t>
      </w:r>
      <w:r w:rsidR="00F348A8" w:rsidRPr="00906058">
        <w:rPr>
          <w:sz w:val="22"/>
        </w:rPr>
        <w:t xml:space="preserve">list for </w:t>
      </w:r>
      <w:r w:rsidRPr="00906058">
        <w:rPr>
          <w:sz w:val="22"/>
        </w:rPr>
        <w:t>concept “</w:t>
      </w:r>
      <w:r w:rsidR="003F0DC9">
        <w:rPr>
          <w:sz w:val="22"/>
        </w:rPr>
        <w:t>Statistical operation</w:t>
      </w:r>
      <w:r w:rsidRPr="00906058">
        <w:rPr>
          <w:sz w:val="22"/>
        </w:rPr>
        <w:t>”</w:t>
      </w:r>
      <w:r w:rsidR="00F348A8" w:rsidRPr="00906058">
        <w:rPr>
          <w:sz w:val="22"/>
        </w:rPr>
        <w:t xml:space="preserve"> (</w:t>
      </w:r>
      <w:r w:rsidRPr="00906058">
        <w:rPr>
          <w:sz w:val="22"/>
        </w:rPr>
        <w:t>ID “</w:t>
      </w:r>
      <w:r w:rsidR="00603BE5" w:rsidRPr="00906058">
        <w:rPr>
          <w:sz w:val="22"/>
        </w:rPr>
        <w:t>STATISTICAL</w:t>
      </w:r>
      <w:r w:rsidR="009272B8" w:rsidRPr="00906058">
        <w:rPr>
          <w:sz w:val="22"/>
        </w:rPr>
        <w:t>_</w:t>
      </w:r>
      <w:r w:rsidR="00603BE5" w:rsidRPr="00906058">
        <w:rPr>
          <w:sz w:val="22"/>
        </w:rPr>
        <w:t>OPERATION</w:t>
      </w:r>
      <w:r w:rsidRPr="00906058">
        <w:rPr>
          <w:sz w:val="22"/>
        </w:rPr>
        <w:t>”</w:t>
      </w:r>
      <w:r w:rsidR="00F348A8" w:rsidRPr="00906058">
        <w:rPr>
          <w:sz w:val="22"/>
        </w:rPr>
        <w:t>)</w:t>
      </w:r>
      <w:r w:rsidR="00C11ABC" w:rsidRPr="00906058">
        <w:rPr>
          <w:sz w:val="22"/>
        </w:rPr>
        <w:t>.</w:t>
      </w:r>
    </w:p>
    <w:p w14:paraId="2C6FB6C2" w14:textId="77777777" w:rsidR="00765FD2" w:rsidRPr="007B53B0" w:rsidRDefault="00425718" w:rsidP="007B53B0">
      <w:pPr>
        <w:pStyle w:val="Heading1"/>
        <w:rPr>
          <w:rStyle w:val="Strong"/>
          <w:b w:val="0"/>
          <w:bCs w:val="0"/>
        </w:rPr>
      </w:pPr>
      <w:r w:rsidRPr="007B53B0">
        <w:rPr>
          <w:rStyle w:val="Strong"/>
          <w:b w:val="0"/>
          <w:bCs w:val="0"/>
        </w:rPr>
        <w:t>Description</w:t>
      </w:r>
    </w:p>
    <w:p w14:paraId="6D294FF8" w14:textId="3BD79D96" w:rsidR="009272B8" w:rsidRDefault="00AD024F" w:rsidP="00C11ABC">
      <w:pPr>
        <w:pStyle w:val="style1"/>
        <w:spacing w:before="120" w:beforeAutospacing="0" w:after="120" w:afterAutospacing="0"/>
        <w:jc w:val="both"/>
        <w:rPr>
          <w:sz w:val="22"/>
        </w:rPr>
      </w:pPr>
      <w:r w:rsidRPr="003F0DC9">
        <w:rPr>
          <w:sz w:val="22"/>
        </w:rPr>
        <w:t xml:space="preserve">This code list </w:t>
      </w:r>
      <w:r w:rsidR="003F0DC9">
        <w:rPr>
          <w:sz w:val="22"/>
        </w:rPr>
        <w:t>r</w:t>
      </w:r>
      <w:r w:rsidR="003F0DC9" w:rsidRPr="003F0DC9">
        <w:rPr>
          <w:sz w:val="22"/>
        </w:rPr>
        <w:t>epresent</w:t>
      </w:r>
      <w:r w:rsidR="00DA50AC">
        <w:rPr>
          <w:sz w:val="22"/>
        </w:rPr>
        <w:t>s</w:t>
      </w:r>
      <w:r w:rsidR="003F0DC9" w:rsidRPr="003F0DC9">
        <w:rPr>
          <w:sz w:val="22"/>
        </w:rPr>
        <w:t xml:space="preserve"> </w:t>
      </w:r>
      <w:r w:rsidR="00E430FC">
        <w:rPr>
          <w:sz w:val="22"/>
        </w:rPr>
        <w:t xml:space="preserve">common </w:t>
      </w:r>
      <w:r w:rsidR="00DA50AC">
        <w:rPr>
          <w:sz w:val="22"/>
        </w:rPr>
        <w:t xml:space="preserve">statistical operations for </w:t>
      </w:r>
      <w:r w:rsidR="00D65939">
        <w:rPr>
          <w:sz w:val="22"/>
        </w:rPr>
        <w:t>calculated</w:t>
      </w:r>
      <w:r w:rsidR="00DA50AC">
        <w:rPr>
          <w:sz w:val="22"/>
        </w:rPr>
        <w:t xml:space="preserve"> </w:t>
      </w:r>
      <w:r w:rsidR="003F0DC9" w:rsidRPr="003F0DC9">
        <w:rPr>
          <w:sz w:val="22"/>
        </w:rPr>
        <w:t>value</w:t>
      </w:r>
      <w:r w:rsidR="00566EBC">
        <w:rPr>
          <w:sz w:val="22"/>
        </w:rPr>
        <w:t>s</w:t>
      </w:r>
      <w:r w:rsidR="009272B8" w:rsidRPr="003F0DC9">
        <w:rPr>
          <w:sz w:val="22"/>
        </w:rPr>
        <w:t>.</w:t>
      </w:r>
    </w:p>
    <w:p w14:paraId="13D038AB" w14:textId="0CD7BDBC" w:rsidR="00DA774C" w:rsidRPr="007B53B0" w:rsidRDefault="00AD024F" w:rsidP="000C124B">
      <w:pPr>
        <w:pStyle w:val="Heading1"/>
        <w:rPr>
          <w:rStyle w:val="Strong"/>
          <w:b w:val="0"/>
          <w:bCs w:val="0"/>
        </w:rPr>
      </w:pPr>
      <w:r w:rsidRPr="007B53B0">
        <w:rPr>
          <w:rStyle w:val="Strong"/>
          <w:b w:val="0"/>
          <w:bCs w:val="0"/>
        </w:rPr>
        <w:t>Explanatory notes</w:t>
      </w:r>
    </w:p>
    <w:p w14:paraId="6268A3E2" w14:textId="5D1899C6" w:rsidR="009272B8" w:rsidRPr="00382049" w:rsidRDefault="003F0DC9" w:rsidP="009272B8">
      <w:pPr>
        <w:pStyle w:val="style1"/>
        <w:spacing w:before="120" w:after="120"/>
        <w:jc w:val="both"/>
        <w:rPr>
          <w:sz w:val="22"/>
        </w:rPr>
      </w:pPr>
      <w:r w:rsidRPr="00832E7A">
        <w:rPr>
          <w:sz w:val="22"/>
        </w:rPr>
        <w:t>It</w:t>
      </w:r>
      <w:r w:rsidRPr="003F0DC9">
        <w:rPr>
          <w:sz w:val="22"/>
        </w:rPr>
        <w:t xml:space="preserve"> may be used as a dimension to have multiple series showing the result of different operation</w:t>
      </w:r>
      <w:r w:rsidR="00566EBC">
        <w:rPr>
          <w:sz w:val="22"/>
        </w:rPr>
        <w:t>s</w:t>
      </w:r>
      <w:r w:rsidRPr="003F0DC9">
        <w:rPr>
          <w:sz w:val="22"/>
        </w:rPr>
        <w:t xml:space="preserve">, or as an attribute to describe which operation was applied to the underlying data. </w:t>
      </w:r>
      <w:r w:rsidR="00A01469" w:rsidRPr="00382049">
        <w:rPr>
          <w:sz w:val="22"/>
        </w:rPr>
        <w:t>It</w:t>
      </w:r>
      <w:r w:rsidR="00566EBC">
        <w:rPr>
          <w:sz w:val="22"/>
        </w:rPr>
        <w:t xml:space="preserve"> can describe </w:t>
      </w:r>
      <w:r w:rsidR="00A01469" w:rsidRPr="00382049">
        <w:rPr>
          <w:sz w:val="22"/>
        </w:rPr>
        <w:t xml:space="preserve">the </w:t>
      </w:r>
      <w:r w:rsidR="00566EBC">
        <w:rPr>
          <w:sz w:val="22"/>
        </w:rPr>
        <w:t xml:space="preserve">calculation </w:t>
      </w:r>
      <w:r w:rsidR="00A01469" w:rsidRPr="00382049">
        <w:rPr>
          <w:sz w:val="22"/>
        </w:rPr>
        <w:t xml:space="preserve">of primary data into an aggregate. </w:t>
      </w:r>
      <w:r w:rsidR="00125245" w:rsidRPr="00382049">
        <w:rPr>
          <w:sz w:val="22"/>
        </w:rPr>
        <w:t>For</w:t>
      </w:r>
      <w:r w:rsidR="00A01469" w:rsidRPr="00382049">
        <w:rPr>
          <w:sz w:val="22"/>
        </w:rPr>
        <w:t xml:space="preserve"> example</w:t>
      </w:r>
      <w:r w:rsidR="00566EBC">
        <w:rPr>
          <w:sz w:val="22"/>
        </w:rPr>
        <w:t>,</w:t>
      </w:r>
      <w:r w:rsidR="00A01469" w:rsidRPr="00382049">
        <w:rPr>
          <w:sz w:val="22"/>
        </w:rPr>
        <w:t xml:space="preserve"> </w:t>
      </w:r>
      <w:r w:rsidR="00125245" w:rsidRPr="00382049">
        <w:rPr>
          <w:sz w:val="22"/>
        </w:rPr>
        <w:t xml:space="preserve">the population of a country </w:t>
      </w:r>
      <w:r w:rsidR="00382049" w:rsidRPr="00382049">
        <w:rPr>
          <w:sz w:val="22"/>
        </w:rPr>
        <w:t xml:space="preserve">that is </w:t>
      </w:r>
      <w:r w:rsidR="00125245" w:rsidRPr="00382049">
        <w:rPr>
          <w:sz w:val="22"/>
        </w:rPr>
        <w:t>calculated as a sum of individuals.</w:t>
      </w:r>
      <w:r w:rsidR="00A01469" w:rsidRPr="00382049">
        <w:rPr>
          <w:sz w:val="22"/>
        </w:rPr>
        <w:t xml:space="preserve"> </w:t>
      </w:r>
    </w:p>
    <w:p w14:paraId="250FD205" w14:textId="679A3CB0" w:rsidR="00F30870" w:rsidRPr="007B53B0" w:rsidRDefault="00EF5D8C" w:rsidP="007B53B0">
      <w:pPr>
        <w:pStyle w:val="Heading1"/>
        <w:rPr>
          <w:rStyle w:val="Strong"/>
          <w:b w:val="0"/>
          <w:bCs w:val="0"/>
        </w:rPr>
      </w:pPr>
      <w:r w:rsidRPr="007B53B0">
        <w:rPr>
          <w:rStyle w:val="Strong"/>
          <w:b w:val="0"/>
          <w:bCs w:val="0"/>
        </w:rPr>
        <w:t>Established international standard(s) used as input for the code list</w:t>
      </w:r>
    </w:p>
    <w:p w14:paraId="395CAEB6" w14:textId="594C9BD3" w:rsidR="00EF5D8C" w:rsidRPr="000F38D2" w:rsidRDefault="00EF5D8C" w:rsidP="000F38D2">
      <w:pPr>
        <w:rPr>
          <w:rFonts w:ascii="Arial" w:hAnsi="Arial" w:cs="Arial"/>
          <w:sz w:val="22"/>
        </w:rPr>
      </w:pPr>
      <w:r w:rsidRPr="000F38D2">
        <w:rPr>
          <w:rFonts w:ascii="Arial" w:hAnsi="Arial" w:cs="Arial"/>
          <w:sz w:val="22"/>
        </w:rPr>
        <w:t>None</w:t>
      </w:r>
    </w:p>
    <w:p w14:paraId="5A9CD3D4" w14:textId="0E51C530" w:rsidR="00AD024F" w:rsidRPr="00906058" w:rsidRDefault="00AD024F" w:rsidP="00FC74F6">
      <w:pPr>
        <w:pStyle w:val="style1"/>
        <w:spacing w:before="120" w:beforeAutospacing="0" w:after="120" w:afterAutospacing="0"/>
        <w:jc w:val="both"/>
        <w:rPr>
          <w:sz w:val="22"/>
        </w:rPr>
      </w:pPr>
    </w:p>
    <w:p w14:paraId="508BAA2C" w14:textId="641DCDFB" w:rsidR="00722E4E" w:rsidRPr="00906058" w:rsidRDefault="00722E4E" w:rsidP="00C11ABC">
      <w:pPr>
        <w:pStyle w:val="style1"/>
        <w:spacing w:before="120" w:beforeAutospacing="0" w:after="240" w:afterAutospacing="0"/>
        <w:jc w:val="both"/>
        <w:rPr>
          <w:sz w:val="22"/>
        </w:rPr>
      </w:pPr>
    </w:p>
    <w:p w14:paraId="06D358CF" w14:textId="77777777" w:rsidR="00722E4E" w:rsidRPr="00906058" w:rsidRDefault="00722E4E">
      <w:pPr>
        <w:rPr>
          <w:rFonts w:ascii="Arial" w:hAnsi="Arial" w:cs="Arial"/>
          <w:sz w:val="22"/>
        </w:rPr>
      </w:pPr>
      <w:r w:rsidRPr="00906058">
        <w:rPr>
          <w:sz w:val="22"/>
        </w:rPr>
        <w:br w:type="page"/>
      </w:r>
    </w:p>
    <w:p w14:paraId="0FDFB7C5" w14:textId="68B74755" w:rsidR="00722E4E" w:rsidRPr="007B53B0" w:rsidRDefault="00722E4E" w:rsidP="007B53B0">
      <w:pPr>
        <w:pStyle w:val="Heading1"/>
      </w:pPr>
      <w:r w:rsidRPr="007B53B0">
        <w:lastRenderedPageBreak/>
        <w:t>Recommended Codes</w:t>
      </w:r>
    </w:p>
    <w:tbl>
      <w:tblPr>
        <w:tblW w:w="531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3031"/>
        <w:gridCol w:w="5390"/>
      </w:tblGrid>
      <w:tr w:rsidR="000F38D2" w:rsidRPr="00906058" w14:paraId="295EF40D" w14:textId="1BAC2A3A" w:rsidTr="000F38D2">
        <w:trPr>
          <w:trHeight w:val="575"/>
        </w:trPr>
        <w:tc>
          <w:tcPr>
            <w:tcW w:w="6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4EF56" w14:textId="77777777" w:rsidR="000F38D2" w:rsidRPr="00906058" w:rsidRDefault="000F38D2" w:rsidP="004429D9">
            <w:pPr>
              <w:keepNext/>
              <w:spacing w:before="60" w:after="60" w:line="25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6058">
              <w:rPr>
                <w:rFonts w:ascii="Arial" w:hAnsi="Arial" w:cs="Arial"/>
                <w:b/>
                <w:bCs/>
                <w:sz w:val="20"/>
                <w:szCs w:val="20"/>
              </w:rPr>
              <w:t>Code Id</w:t>
            </w:r>
          </w:p>
        </w:tc>
        <w:tc>
          <w:tcPr>
            <w:tcW w:w="15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E9BEB" w14:textId="77777777" w:rsidR="000F38D2" w:rsidRPr="00906058" w:rsidRDefault="000F38D2" w:rsidP="004429D9">
            <w:pPr>
              <w:keepNext/>
              <w:spacing w:before="60" w:after="60" w:line="25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6058">
              <w:rPr>
                <w:rFonts w:ascii="Arial" w:hAnsi="Arial" w:cs="Arial"/>
                <w:b/>
                <w:bCs/>
                <w:sz w:val="20"/>
                <w:szCs w:val="20"/>
              </w:rPr>
              <w:t>Code Name</w:t>
            </w:r>
          </w:p>
        </w:tc>
        <w:tc>
          <w:tcPr>
            <w:tcW w:w="279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60BC9DB" w14:textId="1AE88342" w:rsidR="000F38D2" w:rsidRPr="00906058" w:rsidRDefault="000F38D2" w:rsidP="008A69BE">
            <w:pPr>
              <w:keepNext/>
              <w:spacing w:before="180" w:after="120" w:line="25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6058">
              <w:rPr>
                <w:rFonts w:ascii="Arial" w:hAnsi="Arial" w:cs="Arial"/>
                <w:b/>
                <w:bCs/>
                <w:sz w:val="20"/>
                <w:szCs w:val="20"/>
              </w:rPr>
              <w:t>Code Description</w:t>
            </w:r>
          </w:p>
        </w:tc>
      </w:tr>
      <w:tr w:rsidR="000F38D2" w:rsidRPr="00906058" w14:paraId="781EBEA4" w14:textId="5743BF36" w:rsidTr="000F38D2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17948" w14:textId="77777777" w:rsidR="000F38D2" w:rsidRPr="00906058" w:rsidRDefault="000F38D2" w:rsidP="005663A5">
            <w:pPr>
              <w:keepNext/>
              <w:spacing w:before="60" w:after="60" w:line="252" w:lineRule="auto"/>
              <w:rPr>
                <w:rFonts w:ascii="Arial" w:hAnsi="Arial" w:cs="Arial"/>
                <w:sz w:val="20"/>
                <w:szCs w:val="20"/>
              </w:rPr>
            </w:pPr>
            <w:r w:rsidRPr="00906058">
              <w:rPr>
                <w:rFonts w:ascii="Arial" w:hAnsi="Arial" w:cs="Arial"/>
                <w:sz w:val="20"/>
                <w:szCs w:val="20"/>
              </w:rPr>
              <w:t>MEAN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674E1" w14:textId="5752E8B1" w:rsidR="000F38D2" w:rsidRPr="00906058" w:rsidRDefault="000F38D2" w:rsidP="00801DE5">
            <w:pPr>
              <w:keepNext/>
              <w:spacing w:before="60" w:after="60" w:line="252" w:lineRule="auto"/>
              <w:rPr>
                <w:rFonts w:ascii="Arial" w:hAnsi="Arial" w:cs="Arial"/>
                <w:sz w:val="20"/>
                <w:szCs w:val="20"/>
              </w:rPr>
            </w:pPr>
            <w:r w:rsidRPr="00906058">
              <w:rPr>
                <w:rFonts w:ascii="Arial" w:hAnsi="Arial" w:cs="Arial"/>
                <w:sz w:val="20"/>
                <w:szCs w:val="20"/>
              </w:rPr>
              <w:t>Arithmetic mean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7144" w14:textId="5495AA88" w:rsidR="000F38D2" w:rsidRPr="00906058" w:rsidRDefault="000F38D2" w:rsidP="005663A5">
            <w:pPr>
              <w:keepNext/>
              <w:spacing w:before="60" w:after="6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Value representing the a</w:t>
            </w:r>
            <w:r w:rsidRPr="00906058">
              <w:rPr>
                <w:rFonts w:ascii="Arial" w:hAnsi="Arial" w:cs="Arial"/>
                <w:sz w:val="20"/>
                <w:szCs w:val="20"/>
              </w:rPr>
              <w:t>rithmetic mean</w:t>
            </w:r>
            <w:r>
              <w:rPr>
                <w:rFonts w:ascii="Arial" w:hAnsi="Arial" w:cs="Arial"/>
                <w:sz w:val="20"/>
                <w:szCs w:val="20"/>
              </w:rPr>
              <w:t xml:space="preserve"> of a distribution. Example “</w:t>
            </w:r>
            <w:r w:rsidRPr="00613F90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>mean</w:t>
            </w:r>
            <w:r w:rsidRPr="00613F90">
              <w:rPr>
                <w:rFonts w:ascii="Arial" w:hAnsi="Arial" w:cs="Arial"/>
                <w:sz w:val="20"/>
                <w:szCs w:val="20"/>
              </w:rPr>
              <w:t xml:space="preserve"> age of </w:t>
            </w:r>
            <w:r>
              <w:rPr>
                <w:rFonts w:ascii="Arial" w:hAnsi="Arial" w:cs="Arial"/>
                <w:sz w:val="20"/>
                <w:szCs w:val="20"/>
              </w:rPr>
              <w:t>persons in a country”</w:t>
            </w:r>
          </w:p>
        </w:tc>
      </w:tr>
      <w:tr w:rsidR="000F38D2" w:rsidRPr="00906058" w14:paraId="10BF30F9" w14:textId="11F739AB" w:rsidTr="000F38D2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88EA4" w14:textId="25B8348D" w:rsidR="000F38D2" w:rsidRPr="00906058" w:rsidRDefault="000F38D2" w:rsidP="00442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058">
              <w:rPr>
                <w:rFonts w:ascii="Arial" w:hAnsi="Arial" w:cs="Arial"/>
                <w:color w:val="000000"/>
                <w:sz w:val="20"/>
                <w:szCs w:val="20"/>
              </w:rPr>
              <w:t>MEAN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513C0" w14:textId="77777777" w:rsidR="000F38D2" w:rsidRPr="00906058" w:rsidRDefault="000F38D2" w:rsidP="00442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058">
              <w:rPr>
                <w:rFonts w:ascii="Arial" w:hAnsi="Arial" w:cs="Arial"/>
                <w:color w:val="000000"/>
                <w:sz w:val="20"/>
                <w:szCs w:val="20"/>
              </w:rPr>
              <w:t>Geometric mean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9559" w14:textId="770228A2" w:rsidR="000F38D2" w:rsidRPr="00906058" w:rsidRDefault="000F38D2" w:rsidP="001F0196">
            <w:pPr>
              <w:keepNext/>
              <w:spacing w:before="60" w:after="60"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Value representing the geometric</w:t>
            </w:r>
            <w:r w:rsidRPr="00906058">
              <w:rPr>
                <w:rFonts w:ascii="Arial" w:hAnsi="Arial" w:cs="Arial"/>
                <w:sz w:val="20"/>
                <w:szCs w:val="20"/>
              </w:rPr>
              <w:t xml:space="preserve"> mean</w:t>
            </w:r>
            <w:r>
              <w:rPr>
                <w:rFonts w:ascii="Arial" w:hAnsi="Arial" w:cs="Arial"/>
                <w:sz w:val="20"/>
                <w:szCs w:val="20"/>
              </w:rPr>
              <w:t xml:space="preserve"> of a distribution.</w:t>
            </w:r>
          </w:p>
        </w:tc>
      </w:tr>
      <w:tr w:rsidR="000F38D2" w:rsidRPr="00906058" w14:paraId="31AA885D" w14:textId="7D882C27" w:rsidTr="000F38D2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9518" w14:textId="6868C1AC" w:rsidR="000F38D2" w:rsidRPr="00906058" w:rsidRDefault="000F38D2" w:rsidP="00442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058">
              <w:rPr>
                <w:rFonts w:ascii="Arial" w:hAnsi="Arial" w:cs="Arial"/>
                <w:color w:val="000000"/>
                <w:sz w:val="20"/>
                <w:szCs w:val="20"/>
              </w:rPr>
              <w:t>MEAN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07D01" w14:textId="77777777" w:rsidR="000F38D2" w:rsidRPr="00906058" w:rsidRDefault="000F38D2" w:rsidP="00442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058">
              <w:rPr>
                <w:rFonts w:ascii="Arial" w:hAnsi="Arial" w:cs="Arial"/>
                <w:color w:val="000000"/>
                <w:sz w:val="20"/>
                <w:szCs w:val="20"/>
              </w:rPr>
              <w:t>Weighted mean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6D8C" w14:textId="75740697" w:rsidR="000F38D2" w:rsidRPr="00906058" w:rsidRDefault="000F38D2" w:rsidP="00442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Value r</w:t>
            </w:r>
            <w:r w:rsidRPr="008043E2">
              <w:rPr>
                <w:rFonts w:ascii="Arial" w:hAnsi="Arial" w:cs="Arial"/>
                <w:color w:val="000000"/>
                <w:sz w:val="20"/>
                <w:szCs w:val="20"/>
              </w:rPr>
              <w:t>epresenting the weighted arithmetic mean</w:t>
            </w:r>
          </w:p>
        </w:tc>
      </w:tr>
      <w:tr w:rsidR="000F38D2" w:rsidRPr="00906058" w14:paraId="32B3E1C5" w14:textId="548147A4" w:rsidTr="000F38D2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7D1CF" w14:textId="15DAD946" w:rsidR="000F38D2" w:rsidRPr="00906058" w:rsidRDefault="000F38D2" w:rsidP="00442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VALUEW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8DB8C" w14:textId="089ACC4C" w:rsidR="000F38D2" w:rsidRPr="00906058" w:rsidRDefault="000F38D2" w:rsidP="00442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Weighted value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7289" w14:textId="76815D33" w:rsidR="000F38D2" w:rsidRDefault="000F38D2" w:rsidP="00442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Value r</w:t>
            </w:r>
            <w:r w:rsidRPr="008043E2">
              <w:rPr>
                <w:rFonts w:ascii="Arial" w:hAnsi="Arial" w:cs="Arial"/>
                <w:color w:val="000000"/>
                <w:sz w:val="20"/>
                <w:szCs w:val="20"/>
              </w:rPr>
              <w:t>epresenting the weighted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value</w:t>
            </w:r>
          </w:p>
        </w:tc>
      </w:tr>
      <w:tr w:rsidR="000F38D2" w:rsidRPr="00906058" w14:paraId="54B32FE5" w14:textId="50AC0FB8" w:rsidTr="000F38D2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490CA" w14:textId="77777777" w:rsidR="000F38D2" w:rsidRPr="00906058" w:rsidRDefault="000F38D2" w:rsidP="005663A5">
            <w:pPr>
              <w:keepNext/>
              <w:spacing w:before="60" w:after="60" w:line="252" w:lineRule="auto"/>
              <w:rPr>
                <w:rFonts w:ascii="Arial" w:hAnsi="Arial" w:cs="Arial"/>
                <w:sz w:val="20"/>
                <w:szCs w:val="20"/>
              </w:rPr>
            </w:pPr>
            <w:r w:rsidRPr="00906058">
              <w:rPr>
                <w:rFonts w:ascii="Arial" w:hAnsi="Arial" w:cs="Arial"/>
                <w:sz w:val="20"/>
                <w:szCs w:val="20"/>
              </w:rPr>
              <w:t>MEDIAN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36EEC" w14:textId="77777777" w:rsidR="000F38D2" w:rsidRPr="00906058" w:rsidRDefault="000F38D2" w:rsidP="005663A5">
            <w:pPr>
              <w:keepNext/>
              <w:spacing w:before="60" w:after="60" w:line="252" w:lineRule="auto"/>
              <w:rPr>
                <w:rFonts w:ascii="Arial" w:hAnsi="Arial" w:cs="Arial"/>
                <w:sz w:val="20"/>
                <w:szCs w:val="20"/>
              </w:rPr>
            </w:pPr>
            <w:r w:rsidRPr="00906058">
              <w:rPr>
                <w:rFonts w:ascii="Arial" w:hAnsi="Arial" w:cs="Arial"/>
                <w:sz w:val="20"/>
                <w:szCs w:val="20"/>
              </w:rPr>
              <w:t>Median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012C" w14:textId="6C1D3350" w:rsidR="000F38D2" w:rsidRPr="00906058" w:rsidRDefault="000F38D2" w:rsidP="001F0196">
            <w:pPr>
              <w:keepNext/>
              <w:spacing w:before="60" w:after="6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Value representing the median of a distribution.</w:t>
            </w:r>
          </w:p>
        </w:tc>
      </w:tr>
      <w:tr w:rsidR="000F38D2" w:rsidRPr="00906058" w14:paraId="53AEADC2" w14:textId="56B6F48F" w:rsidTr="000F38D2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14E10" w14:textId="77777777" w:rsidR="000F38D2" w:rsidRPr="00906058" w:rsidRDefault="000F38D2" w:rsidP="005663A5">
            <w:pPr>
              <w:keepNext/>
              <w:spacing w:before="60" w:after="60" w:line="252" w:lineRule="auto"/>
              <w:rPr>
                <w:rFonts w:ascii="Arial" w:hAnsi="Arial" w:cs="Arial"/>
                <w:sz w:val="20"/>
                <w:szCs w:val="20"/>
              </w:rPr>
            </w:pPr>
            <w:r w:rsidRPr="00906058">
              <w:rPr>
                <w:rFonts w:ascii="Arial" w:hAnsi="Arial" w:cs="Arial"/>
                <w:sz w:val="20"/>
                <w:szCs w:val="20"/>
              </w:rPr>
              <w:t>OBS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CAEE7" w14:textId="77777777" w:rsidR="000F38D2" w:rsidRPr="00906058" w:rsidRDefault="000F38D2" w:rsidP="005663A5">
            <w:pPr>
              <w:keepNext/>
              <w:spacing w:before="60" w:after="60" w:line="252" w:lineRule="auto"/>
              <w:rPr>
                <w:rFonts w:ascii="Arial" w:hAnsi="Arial" w:cs="Arial"/>
                <w:sz w:val="20"/>
                <w:szCs w:val="20"/>
              </w:rPr>
            </w:pPr>
            <w:r w:rsidRPr="00906058">
              <w:rPr>
                <w:rFonts w:ascii="Arial" w:hAnsi="Arial" w:cs="Arial"/>
                <w:sz w:val="20"/>
                <w:szCs w:val="20"/>
              </w:rPr>
              <w:t>Observed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4951" w14:textId="381DB4DD" w:rsidR="000F38D2" w:rsidRPr="00906058" w:rsidRDefault="000F38D2" w:rsidP="00651F5E">
            <w:pPr>
              <w:pStyle w:val="HTMLPreformatted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O</w:t>
            </w:r>
            <w:r w:rsidRPr="00906058">
              <w:rPr>
                <w:rFonts w:ascii="Arial" w:hAnsi="Arial" w:cs="Arial"/>
                <w:lang w:val="en-GB"/>
              </w:rPr>
              <w:t xml:space="preserve">bserved value without </w:t>
            </w:r>
            <w:r w:rsidRPr="003F0DC9">
              <w:rPr>
                <w:rFonts w:ascii="Arial" w:hAnsi="Arial" w:cs="Arial"/>
                <w:lang w:val="en-GB"/>
              </w:rPr>
              <w:t xml:space="preserve">applying any </w:t>
            </w:r>
            <w:r w:rsidRPr="00906058">
              <w:rPr>
                <w:rFonts w:ascii="Arial" w:hAnsi="Arial" w:cs="Arial"/>
                <w:lang w:val="en-GB"/>
              </w:rPr>
              <w:t xml:space="preserve">statistical operation applied </w:t>
            </w:r>
          </w:p>
        </w:tc>
      </w:tr>
      <w:tr w:rsidR="000F38D2" w:rsidRPr="00906058" w14:paraId="3F3C3077" w14:textId="6423C8A5" w:rsidTr="000F38D2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CBD25" w14:textId="77777777" w:rsidR="000F38D2" w:rsidRPr="00906058" w:rsidRDefault="000F38D2" w:rsidP="005663A5">
            <w:pPr>
              <w:keepNext/>
              <w:spacing w:before="60" w:after="60" w:line="252" w:lineRule="auto"/>
              <w:rPr>
                <w:rFonts w:ascii="Arial" w:hAnsi="Arial" w:cs="Arial"/>
                <w:sz w:val="20"/>
                <w:szCs w:val="20"/>
              </w:rPr>
            </w:pPr>
            <w:r w:rsidRPr="00906058">
              <w:rPr>
                <w:rFonts w:ascii="Arial" w:hAnsi="Arial" w:cs="Arial"/>
                <w:sz w:val="20"/>
                <w:szCs w:val="20"/>
              </w:rPr>
              <w:t>COUNT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13431" w14:textId="77777777" w:rsidR="000F38D2" w:rsidRPr="00906058" w:rsidRDefault="000F38D2" w:rsidP="005663A5">
            <w:pPr>
              <w:keepNext/>
              <w:spacing w:before="60" w:after="60" w:line="252" w:lineRule="auto"/>
              <w:rPr>
                <w:rFonts w:ascii="Arial" w:hAnsi="Arial" w:cs="Arial"/>
                <w:sz w:val="20"/>
                <w:szCs w:val="20"/>
              </w:rPr>
            </w:pPr>
            <w:r w:rsidRPr="00906058">
              <w:rPr>
                <w:rFonts w:ascii="Arial" w:hAnsi="Arial" w:cs="Arial"/>
                <w:sz w:val="20"/>
                <w:szCs w:val="20"/>
              </w:rPr>
              <w:t>Count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02D7" w14:textId="77777777" w:rsidR="000F38D2" w:rsidRDefault="000F38D2" w:rsidP="001F0196">
            <w:pPr>
              <w:keepNext/>
              <w:spacing w:before="60" w:after="6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Value representing the Count of a distribution. </w:t>
            </w:r>
          </w:p>
          <w:p w14:paraId="7555D4AF" w14:textId="1CF52F3D" w:rsidR="000F38D2" w:rsidRPr="00906058" w:rsidRDefault="000F38D2" w:rsidP="001F0196">
            <w:pPr>
              <w:keepNext/>
              <w:spacing w:before="60" w:after="6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Example: the number of enterprises in a country having a specific economic activity.</w:t>
            </w:r>
          </w:p>
        </w:tc>
      </w:tr>
      <w:tr w:rsidR="000F38D2" w:rsidRPr="00906058" w14:paraId="146C5A4A" w14:textId="37CD0FE9" w:rsidTr="000F38D2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C1808" w14:textId="77777777" w:rsidR="000F38D2" w:rsidRPr="00832E7A" w:rsidRDefault="000F38D2" w:rsidP="005663A5">
            <w:pPr>
              <w:keepNext/>
              <w:spacing w:before="60" w:after="60" w:line="252" w:lineRule="auto"/>
              <w:rPr>
                <w:rFonts w:ascii="Arial" w:hAnsi="Arial" w:cs="Arial"/>
                <w:sz w:val="20"/>
                <w:szCs w:val="20"/>
              </w:rPr>
            </w:pPr>
            <w:r w:rsidRPr="00832E7A">
              <w:rPr>
                <w:rFonts w:ascii="Arial" w:hAnsi="Arial" w:cs="Arial"/>
                <w:sz w:val="20"/>
                <w:szCs w:val="20"/>
              </w:rPr>
              <w:t>INDEX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935E" w14:textId="77777777" w:rsidR="000F38D2" w:rsidRPr="00832E7A" w:rsidRDefault="000F38D2" w:rsidP="005663A5">
            <w:pPr>
              <w:keepNext/>
              <w:spacing w:before="60" w:after="60" w:line="252" w:lineRule="auto"/>
              <w:rPr>
                <w:rFonts w:ascii="Arial" w:hAnsi="Arial" w:cs="Arial"/>
                <w:sz w:val="20"/>
                <w:szCs w:val="20"/>
              </w:rPr>
            </w:pPr>
            <w:r w:rsidRPr="00832E7A">
              <w:rPr>
                <w:rFonts w:ascii="Arial" w:hAnsi="Arial" w:cs="Arial"/>
                <w:sz w:val="20"/>
                <w:szCs w:val="20"/>
              </w:rPr>
              <w:t>Index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B88A" w14:textId="77777777" w:rsidR="000F38D2" w:rsidRPr="00832E7A" w:rsidRDefault="000F38D2" w:rsidP="00DB290A">
            <w:pPr>
              <w:keepNext/>
              <w:spacing w:before="60" w:after="60" w:line="252" w:lineRule="auto"/>
              <w:rPr>
                <w:rFonts w:ascii="Arial" w:hAnsi="Arial" w:cs="Arial"/>
                <w:sz w:val="20"/>
                <w:szCs w:val="20"/>
              </w:rPr>
            </w:pPr>
            <w:r w:rsidRPr="00832E7A">
              <w:rPr>
                <w:rFonts w:ascii="Arial" w:hAnsi="Arial" w:cs="Arial"/>
                <w:sz w:val="20"/>
                <w:szCs w:val="20"/>
              </w:rPr>
              <w:t xml:space="preserve">Represents an index value for example for prices. </w:t>
            </w:r>
          </w:p>
          <w:p w14:paraId="75D600E1" w14:textId="04D3B71E" w:rsidR="000F38D2" w:rsidRPr="00832E7A" w:rsidRDefault="000F38D2" w:rsidP="00DB290A">
            <w:pPr>
              <w:keepNext/>
              <w:spacing w:before="60" w:after="60" w:line="252" w:lineRule="auto"/>
              <w:rPr>
                <w:rFonts w:ascii="Arial" w:hAnsi="Arial" w:cs="Arial"/>
                <w:sz w:val="20"/>
                <w:szCs w:val="20"/>
              </w:rPr>
            </w:pPr>
            <w:r w:rsidRPr="00832E7A">
              <w:rPr>
                <w:rFonts w:ascii="Arial" w:hAnsi="Arial" w:cs="Arial"/>
                <w:sz w:val="20"/>
                <w:szCs w:val="20"/>
              </w:rPr>
              <w:t>Example: the index of industrial production.</w:t>
            </w:r>
          </w:p>
        </w:tc>
      </w:tr>
      <w:tr w:rsidR="000F38D2" w:rsidRPr="00906058" w14:paraId="78B95A06" w14:textId="700B530C" w:rsidTr="000F38D2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050BD" w14:textId="0B9B4EF5" w:rsidR="000F38D2" w:rsidRPr="00832E7A" w:rsidRDefault="000F38D2" w:rsidP="005663A5">
            <w:pPr>
              <w:keepNext/>
              <w:spacing w:before="60" w:after="60" w:line="252" w:lineRule="auto"/>
              <w:rPr>
                <w:rFonts w:ascii="Arial" w:hAnsi="Arial" w:cs="Arial"/>
                <w:sz w:val="20"/>
                <w:szCs w:val="20"/>
              </w:rPr>
            </w:pPr>
            <w:r w:rsidRPr="00832E7A">
              <w:rPr>
                <w:rFonts w:ascii="Arial" w:hAnsi="Arial" w:cs="Arial"/>
                <w:sz w:val="20"/>
                <w:szCs w:val="20"/>
              </w:rPr>
              <w:t>RATE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60F65" w14:textId="6030CEB7" w:rsidR="000F38D2" w:rsidRPr="00832E7A" w:rsidRDefault="000F38D2" w:rsidP="005663A5">
            <w:pPr>
              <w:keepNext/>
              <w:spacing w:before="60" w:after="60" w:line="252" w:lineRule="auto"/>
              <w:rPr>
                <w:rFonts w:ascii="Arial" w:hAnsi="Arial" w:cs="Arial"/>
                <w:sz w:val="20"/>
                <w:szCs w:val="20"/>
              </w:rPr>
            </w:pPr>
            <w:r w:rsidRPr="00832E7A">
              <w:rPr>
                <w:rFonts w:ascii="Arial" w:hAnsi="Arial" w:cs="Arial"/>
                <w:sz w:val="20"/>
                <w:szCs w:val="20"/>
              </w:rPr>
              <w:t>Rate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2EF5" w14:textId="353E13AD" w:rsidR="000F38D2" w:rsidRPr="00832E7A" w:rsidRDefault="000F38D2" w:rsidP="001F0196">
            <w:pPr>
              <w:keepNext/>
              <w:spacing w:before="60" w:after="60" w:line="252" w:lineRule="auto"/>
              <w:rPr>
                <w:rFonts w:ascii="Arial" w:hAnsi="Arial" w:cs="Arial"/>
                <w:sz w:val="20"/>
                <w:szCs w:val="20"/>
              </w:rPr>
            </w:pPr>
            <w:r w:rsidRPr="00832E7A">
              <w:rPr>
                <w:rFonts w:ascii="Arial" w:hAnsi="Arial" w:cs="Arial"/>
                <w:sz w:val="20"/>
                <w:szCs w:val="20"/>
              </w:rPr>
              <w:t>Value computed through a rate of values.</w:t>
            </w:r>
          </w:p>
          <w:p w14:paraId="7EBE6CE6" w14:textId="4BEEF768" w:rsidR="000F38D2" w:rsidRPr="00832E7A" w:rsidRDefault="000F38D2" w:rsidP="001F0196">
            <w:pPr>
              <w:keepNext/>
              <w:spacing w:before="60" w:after="60" w:line="252" w:lineRule="auto"/>
              <w:rPr>
                <w:rFonts w:ascii="Arial" w:hAnsi="Arial" w:cs="Arial"/>
                <w:sz w:val="20"/>
                <w:szCs w:val="20"/>
              </w:rPr>
            </w:pPr>
            <w:r w:rsidRPr="00832E7A">
              <w:rPr>
                <w:rFonts w:ascii="Arial" w:hAnsi="Arial" w:cs="Arial"/>
                <w:sz w:val="20"/>
                <w:szCs w:val="20"/>
              </w:rPr>
              <w:t>Example: Unemployment rate</w:t>
            </w:r>
          </w:p>
        </w:tc>
      </w:tr>
      <w:tr w:rsidR="000F38D2" w:rsidRPr="00906058" w14:paraId="2B7B9F02" w14:textId="6A8FD720" w:rsidTr="000F38D2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F8B31" w14:textId="77777777" w:rsidR="000F38D2" w:rsidRPr="00906058" w:rsidRDefault="000F38D2" w:rsidP="005663A5">
            <w:pPr>
              <w:keepNext/>
              <w:spacing w:before="60" w:after="60" w:line="252" w:lineRule="auto"/>
              <w:rPr>
                <w:rFonts w:ascii="Arial" w:hAnsi="Arial" w:cs="Arial"/>
                <w:sz w:val="20"/>
                <w:szCs w:val="20"/>
              </w:rPr>
            </w:pPr>
            <w:r w:rsidRPr="00906058">
              <w:rPr>
                <w:rFonts w:ascii="Arial" w:hAnsi="Arial" w:cs="Arial"/>
                <w:sz w:val="20"/>
                <w:szCs w:val="20"/>
              </w:rPr>
              <w:t>Q1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BD01C" w14:textId="77777777" w:rsidR="000F38D2" w:rsidRPr="00906058" w:rsidRDefault="000F38D2" w:rsidP="005663A5">
            <w:pPr>
              <w:keepNext/>
              <w:spacing w:before="60" w:after="60" w:line="252" w:lineRule="auto"/>
              <w:rPr>
                <w:rFonts w:ascii="Arial" w:hAnsi="Arial" w:cs="Arial"/>
                <w:sz w:val="20"/>
                <w:szCs w:val="20"/>
              </w:rPr>
            </w:pPr>
            <w:r w:rsidRPr="00906058">
              <w:rPr>
                <w:rFonts w:ascii="Arial" w:hAnsi="Arial" w:cs="Arial"/>
                <w:sz w:val="20"/>
                <w:szCs w:val="20"/>
              </w:rPr>
              <w:t>Quintile 1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E0E1" w14:textId="2EC46778" w:rsidR="000F38D2" w:rsidRPr="00906058" w:rsidRDefault="000F38D2" w:rsidP="005663A5">
            <w:pPr>
              <w:keepNext/>
              <w:spacing w:before="60" w:after="6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Value representing the first quintile </w:t>
            </w:r>
            <w:r w:rsidRPr="009038E5">
              <w:rPr>
                <w:rFonts w:ascii="Arial" w:hAnsi="Arial" w:cs="Arial"/>
                <w:sz w:val="20"/>
                <w:szCs w:val="20"/>
              </w:rPr>
              <w:t>cut point</w:t>
            </w:r>
            <w:r>
              <w:rPr>
                <w:rFonts w:ascii="Arial" w:hAnsi="Arial" w:cs="Arial"/>
                <w:sz w:val="20"/>
                <w:szCs w:val="20"/>
              </w:rPr>
              <w:t xml:space="preserve"> of a distribution.</w:t>
            </w:r>
          </w:p>
        </w:tc>
      </w:tr>
      <w:tr w:rsidR="000F38D2" w:rsidRPr="00906058" w14:paraId="7FDF27C4" w14:textId="06B7B59D" w:rsidTr="000F38D2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FEB97" w14:textId="77777777" w:rsidR="000F38D2" w:rsidRPr="00906058" w:rsidRDefault="000F38D2" w:rsidP="00862D3E">
            <w:pPr>
              <w:keepNext/>
              <w:spacing w:before="60" w:after="60" w:line="252" w:lineRule="auto"/>
              <w:rPr>
                <w:rFonts w:ascii="Arial" w:hAnsi="Arial" w:cs="Arial"/>
                <w:sz w:val="20"/>
                <w:szCs w:val="20"/>
              </w:rPr>
            </w:pPr>
            <w:r w:rsidRPr="00906058">
              <w:rPr>
                <w:rFonts w:ascii="Arial" w:hAnsi="Arial" w:cs="Arial"/>
                <w:sz w:val="20"/>
                <w:szCs w:val="20"/>
              </w:rPr>
              <w:t>Q2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DCDDA" w14:textId="77777777" w:rsidR="000F38D2" w:rsidRPr="00906058" w:rsidRDefault="000F38D2" w:rsidP="00862D3E">
            <w:pPr>
              <w:keepNext/>
              <w:spacing w:before="60" w:after="60" w:line="252" w:lineRule="auto"/>
              <w:rPr>
                <w:rFonts w:ascii="Arial" w:hAnsi="Arial" w:cs="Arial"/>
                <w:sz w:val="20"/>
                <w:szCs w:val="20"/>
              </w:rPr>
            </w:pPr>
            <w:r w:rsidRPr="00906058">
              <w:rPr>
                <w:rFonts w:ascii="Arial" w:hAnsi="Arial" w:cs="Arial"/>
                <w:sz w:val="20"/>
                <w:szCs w:val="20"/>
              </w:rPr>
              <w:t>Quintile 2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C880" w14:textId="0D577C00" w:rsidR="000F38D2" w:rsidRPr="00906058" w:rsidRDefault="000F38D2" w:rsidP="00862D3E">
            <w:pPr>
              <w:keepNext/>
              <w:spacing w:before="60" w:after="60" w:line="252" w:lineRule="auto"/>
              <w:rPr>
                <w:rFonts w:ascii="Arial" w:hAnsi="Arial" w:cs="Arial"/>
                <w:sz w:val="20"/>
                <w:szCs w:val="20"/>
              </w:rPr>
            </w:pPr>
            <w:r w:rsidRPr="00F9277D">
              <w:rPr>
                <w:rFonts w:ascii="Arial" w:hAnsi="Arial" w:cs="Arial"/>
                <w:sz w:val="20"/>
                <w:szCs w:val="20"/>
              </w:rPr>
              <w:t xml:space="preserve">Value representing the </w:t>
            </w:r>
            <w:r>
              <w:rPr>
                <w:rFonts w:ascii="Arial" w:hAnsi="Arial" w:cs="Arial"/>
                <w:sz w:val="20"/>
                <w:szCs w:val="20"/>
              </w:rPr>
              <w:t>second</w:t>
            </w:r>
            <w:r w:rsidRPr="00F9277D">
              <w:rPr>
                <w:rFonts w:ascii="Arial" w:hAnsi="Arial" w:cs="Arial"/>
                <w:sz w:val="20"/>
                <w:szCs w:val="20"/>
              </w:rPr>
              <w:t xml:space="preserve"> quintile </w:t>
            </w:r>
            <w:r w:rsidRPr="009038E5">
              <w:rPr>
                <w:rFonts w:ascii="Arial" w:hAnsi="Arial" w:cs="Arial"/>
                <w:sz w:val="20"/>
                <w:szCs w:val="20"/>
              </w:rPr>
              <w:t>cut point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277D">
              <w:rPr>
                <w:rFonts w:ascii="Arial" w:hAnsi="Arial" w:cs="Arial"/>
                <w:sz w:val="20"/>
                <w:szCs w:val="20"/>
              </w:rPr>
              <w:t>of a distribution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F38D2" w:rsidRPr="00906058" w14:paraId="06779A97" w14:textId="06E63509" w:rsidTr="000F38D2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588E9" w14:textId="77777777" w:rsidR="000F38D2" w:rsidRPr="00906058" w:rsidRDefault="000F38D2" w:rsidP="00862D3E">
            <w:pPr>
              <w:keepNext/>
              <w:spacing w:before="60" w:after="60" w:line="252" w:lineRule="auto"/>
              <w:rPr>
                <w:rFonts w:ascii="Arial" w:hAnsi="Arial" w:cs="Arial"/>
                <w:sz w:val="20"/>
                <w:szCs w:val="20"/>
              </w:rPr>
            </w:pPr>
            <w:r w:rsidRPr="00906058">
              <w:rPr>
                <w:rFonts w:ascii="Arial" w:hAnsi="Arial" w:cs="Arial"/>
                <w:sz w:val="20"/>
                <w:szCs w:val="20"/>
              </w:rPr>
              <w:t>Q3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20C1E" w14:textId="77777777" w:rsidR="000F38D2" w:rsidRPr="00906058" w:rsidRDefault="000F38D2" w:rsidP="00862D3E">
            <w:pPr>
              <w:keepNext/>
              <w:spacing w:before="60" w:after="60" w:line="252" w:lineRule="auto"/>
              <w:rPr>
                <w:rFonts w:ascii="Arial" w:hAnsi="Arial" w:cs="Arial"/>
                <w:sz w:val="20"/>
                <w:szCs w:val="20"/>
              </w:rPr>
            </w:pPr>
            <w:r w:rsidRPr="00906058">
              <w:rPr>
                <w:rFonts w:ascii="Arial" w:hAnsi="Arial" w:cs="Arial"/>
                <w:sz w:val="20"/>
                <w:szCs w:val="20"/>
              </w:rPr>
              <w:t>Quintile 3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977D" w14:textId="703CD55A" w:rsidR="000F38D2" w:rsidRPr="00906058" w:rsidRDefault="000F38D2" w:rsidP="00862D3E">
            <w:pPr>
              <w:keepNext/>
              <w:spacing w:before="60" w:after="60" w:line="252" w:lineRule="auto"/>
              <w:rPr>
                <w:rFonts w:ascii="Arial" w:hAnsi="Arial" w:cs="Arial"/>
                <w:sz w:val="20"/>
                <w:szCs w:val="20"/>
              </w:rPr>
            </w:pPr>
            <w:r w:rsidRPr="00F9277D">
              <w:rPr>
                <w:rFonts w:ascii="Arial" w:hAnsi="Arial" w:cs="Arial"/>
                <w:sz w:val="20"/>
                <w:szCs w:val="20"/>
              </w:rPr>
              <w:t xml:space="preserve">Value representing the </w:t>
            </w:r>
            <w:r>
              <w:rPr>
                <w:rFonts w:ascii="Arial" w:hAnsi="Arial" w:cs="Arial"/>
                <w:sz w:val="20"/>
                <w:szCs w:val="20"/>
              </w:rPr>
              <w:t>third</w:t>
            </w:r>
            <w:r w:rsidRPr="00F9277D">
              <w:rPr>
                <w:rFonts w:ascii="Arial" w:hAnsi="Arial" w:cs="Arial"/>
                <w:sz w:val="20"/>
                <w:szCs w:val="20"/>
              </w:rPr>
              <w:t xml:space="preserve"> quintile </w:t>
            </w:r>
            <w:r w:rsidRPr="009038E5">
              <w:rPr>
                <w:rFonts w:ascii="Arial" w:hAnsi="Arial" w:cs="Arial"/>
                <w:sz w:val="20"/>
                <w:szCs w:val="20"/>
              </w:rPr>
              <w:t>cut point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277D">
              <w:rPr>
                <w:rFonts w:ascii="Arial" w:hAnsi="Arial" w:cs="Arial"/>
                <w:sz w:val="20"/>
                <w:szCs w:val="20"/>
              </w:rPr>
              <w:t>of a distribution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F38D2" w:rsidRPr="00906058" w14:paraId="53E730CF" w14:textId="416EDA74" w:rsidTr="000F38D2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25578" w14:textId="77777777" w:rsidR="000F38D2" w:rsidRPr="00906058" w:rsidRDefault="000F38D2" w:rsidP="00862D3E">
            <w:pPr>
              <w:keepNext/>
              <w:spacing w:before="60" w:after="60" w:line="252" w:lineRule="auto"/>
              <w:rPr>
                <w:rFonts w:ascii="Arial" w:hAnsi="Arial" w:cs="Arial"/>
                <w:sz w:val="20"/>
                <w:szCs w:val="20"/>
              </w:rPr>
            </w:pPr>
            <w:r w:rsidRPr="00906058">
              <w:rPr>
                <w:rFonts w:ascii="Arial" w:hAnsi="Arial" w:cs="Arial"/>
                <w:sz w:val="20"/>
                <w:szCs w:val="20"/>
              </w:rPr>
              <w:t>Q4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5B96B" w14:textId="77777777" w:rsidR="000F38D2" w:rsidRPr="00906058" w:rsidRDefault="000F38D2" w:rsidP="00862D3E">
            <w:pPr>
              <w:keepNext/>
              <w:spacing w:before="60" w:after="60" w:line="252" w:lineRule="auto"/>
              <w:rPr>
                <w:rFonts w:ascii="Arial" w:hAnsi="Arial" w:cs="Arial"/>
                <w:sz w:val="20"/>
                <w:szCs w:val="20"/>
              </w:rPr>
            </w:pPr>
            <w:r w:rsidRPr="00906058">
              <w:rPr>
                <w:rFonts w:ascii="Arial" w:hAnsi="Arial" w:cs="Arial"/>
                <w:sz w:val="20"/>
                <w:szCs w:val="20"/>
              </w:rPr>
              <w:t>Quintile 4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9454" w14:textId="68D1D73A" w:rsidR="000F38D2" w:rsidRPr="00906058" w:rsidRDefault="000F38D2" w:rsidP="00862D3E">
            <w:pPr>
              <w:keepNext/>
              <w:spacing w:before="60" w:after="60" w:line="252" w:lineRule="auto"/>
              <w:rPr>
                <w:rFonts w:ascii="Arial" w:hAnsi="Arial" w:cs="Arial"/>
                <w:sz w:val="20"/>
                <w:szCs w:val="20"/>
              </w:rPr>
            </w:pPr>
            <w:r w:rsidRPr="00F9277D">
              <w:rPr>
                <w:rFonts w:ascii="Arial" w:hAnsi="Arial" w:cs="Arial"/>
                <w:sz w:val="20"/>
                <w:szCs w:val="20"/>
              </w:rPr>
              <w:t xml:space="preserve">Value representing the </w:t>
            </w:r>
            <w:r>
              <w:rPr>
                <w:rFonts w:ascii="Arial" w:hAnsi="Arial" w:cs="Arial"/>
                <w:sz w:val="20"/>
                <w:szCs w:val="20"/>
              </w:rPr>
              <w:t>fourth</w:t>
            </w:r>
            <w:r w:rsidRPr="00F9277D">
              <w:rPr>
                <w:rFonts w:ascii="Arial" w:hAnsi="Arial" w:cs="Arial"/>
                <w:sz w:val="20"/>
                <w:szCs w:val="20"/>
              </w:rPr>
              <w:t xml:space="preserve"> quintile </w:t>
            </w:r>
            <w:r w:rsidRPr="009038E5">
              <w:rPr>
                <w:rFonts w:ascii="Arial" w:hAnsi="Arial" w:cs="Arial"/>
                <w:sz w:val="20"/>
                <w:szCs w:val="20"/>
              </w:rPr>
              <w:t>cut point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277D">
              <w:rPr>
                <w:rFonts w:ascii="Arial" w:hAnsi="Arial" w:cs="Arial"/>
                <w:sz w:val="20"/>
                <w:szCs w:val="20"/>
              </w:rPr>
              <w:t>of a distribution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F38D2" w:rsidRPr="00906058" w14:paraId="1B2A3294" w14:textId="5D60D844" w:rsidTr="000F38D2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B594E" w14:textId="77777777" w:rsidR="000F38D2" w:rsidRPr="00906058" w:rsidRDefault="000F38D2" w:rsidP="005663A5">
            <w:pPr>
              <w:keepNext/>
              <w:spacing w:before="60" w:after="60" w:line="252" w:lineRule="auto"/>
              <w:rPr>
                <w:rFonts w:ascii="Arial" w:hAnsi="Arial" w:cs="Arial"/>
                <w:sz w:val="20"/>
                <w:szCs w:val="20"/>
              </w:rPr>
            </w:pPr>
            <w:r w:rsidRPr="00906058">
              <w:rPr>
                <w:rFonts w:ascii="Arial" w:hAnsi="Arial" w:cs="Arial"/>
                <w:sz w:val="20"/>
                <w:szCs w:val="20"/>
              </w:rPr>
              <w:t>D1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DCCE4" w14:textId="77777777" w:rsidR="000F38D2" w:rsidRPr="00906058" w:rsidRDefault="000F38D2" w:rsidP="005663A5">
            <w:pPr>
              <w:keepNext/>
              <w:spacing w:before="60" w:after="60" w:line="252" w:lineRule="auto"/>
              <w:rPr>
                <w:rFonts w:ascii="Arial" w:hAnsi="Arial" w:cs="Arial"/>
                <w:sz w:val="20"/>
                <w:szCs w:val="20"/>
              </w:rPr>
            </w:pPr>
            <w:r w:rsidRPr="00906058">
              <w:rPr>
                <w:rFonts w:ascii="Arial" w:hAnsi="Arial" w:cs="Arial"/>
                <w:sz w:val="20"/>
                <w:szCs w:val="20"/>
              </w:rPr>
              <w:t>Decile 1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D6EE" w14:textId="553ABDE3" w:rsidR="000F38D2" w:rsidRPr="00906058" w:rsidRDefault="000F38D2" w:rsidP="00862D3E">
            <w:pPr>
              <w:keepNext/>
              <w:spacing w:before="60" w:after="6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Value representing the first decile </w:t>
            </w:r>
            <w:r w:rsidRPr="009038E5">
              <w:rPr>
                <w:rFonts w:ascii="Arial" w:hAnsi="Arial" w:cs="Arial"/>
                <w:sz w:val="20"/>
                <w:szCs w:val="20"/>
              </w:rPr>
              <w:t>cut point</w:t>
            </w:r>
            <w:r>
              <w:rPr>
                <w:rFonts w:ascii="Arial" w:hAnsi="Arial" w:cs="Arial"/>
                <w:sz w:val="20"/>
                <w:szCs w:val="20"/>
              </w:rPr>
              <w:t xml:space="preserve"> of a distribution.</w:t>
            </w:r>
          </w:p>
        </w:tc>
      </w:tr>
      <w:tr w:rsidR="000F38D2" w:rsidRPr="00906058" w14:paraId="4CB55767" w14:textId="24E03D89" w:rsidTr="000F38D2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312E2" w14:textId="77777777" w:rsidR="000F38D2" w:rsidRPr="00906058" w:rsidRDefault="000F38D2" w:rsidP="00862D3E">
            <w:pPr>
              <w:keepNext/>
              <w:spacing w:before="60" w:after="60" w:line="252" w:lineRule="auto"/>
              <w:rPr>
                <w:rFonts w:ascii="Arial" w:hAnsi="Arial" w:cs="Arial"/>
                <w:sz w:val="20"/>
                <w:szCs w:val="20"/>
              </w:rPr>
            </w:pPr>
            <w:r w:rsidRPr="00906058">
              <w:rPr>
                <w:rFonts w:ascii="Arial" w:hAnsi="Arial" w:cs="Arial"/>
                <w:sz w:val="20"/>
                <w:szCs w:val="20"/>
              </w:rPr>
              <w:t>D2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84E00" w14:textId="77777777" w:rsidR="000F38D2" w:rsidRPr="00906058" w:rsidRDefault="000F38D2" w:rsidP="00862D3E">
            <w:pPr>
              <w:keepNext/>
              <w:spacing w:before="60" w:after="60" w:line="252" w:lineRule="auto"/>
              <w:rPr>
                <w:rFonts w:ascii="Arial" w:hAnsi="Arial" w:cs="Arial"/>
                <w:sz w:val="20"/>
                <w:szCs w:val="20"/>
              </w:rPr>
            </w:pPr>
            <w:r w:rsidRPr="00906058">
              <w:rPr>
                <w:rFonts w:ascii="Arial" w:hAnsi="Arial" w:cs="Arial"/>
                <w:sz w:val="20"/>
                <w:szCs w:val="20"/>
              </w:rPr>
              <w:t>Decile 2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1FAD" w14:textId="499383EF" w:rsidR="000F38D2" w:rsidRPr="00906058" w:rsidRDefault="000F38D2" w:rsidP="00862D3E">
            <w:pPr>
              <w:keepNext/>
              <w:spacing w:before="60" w:after="60" w:line="252" w:lineRule="auto"/>
              <w:rPr>
                <w:rFonts w:ascii="Arial" w:hAnsi="Arial" w:cs="Arial"/>
                <w:sz w:val="20"/>
                <w:szCs w:val="20"/>
              </w:rPr>
            </w:pPr>
            <w:r w:rsidRPr="00F9277D">
              <w:rPr>
                <w:rFonts w:ascii="Arial" w:hAnsi="Arial" w:cs="Arial"/>
                <w:sz w:val="20"/>
                <w:szCs w:val="20"/>
              </w:rPr>
              <w:t xml:space="preserve">Value representing the </w:t>
            </w:r>
            <w:r>
              <w:rPr>
                <w:rFonts w:ascii="Arial" w:hAnsi="Arial" w:cs="Arial"/>
                <w:sz w:val="20"/>
                <w:szCs w:val="20"/>
              </w:rPr>
              <w:t>second</w:t>
            </w:r>
            <w:r w:rsidRPr="00F9277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decile </w:t>
            </w:r>
            <w:r w:rsidRPr="009038E5">
              <w:rPr>
                <w:rFonts w:ascii="Arial" w:hAnsi="Arial" w:cs="Arial"/>
                <w:sz w:val="20"/>
                <w:szCs w:val="20"/>
              </w:rPr>
              <w:t>cut point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277D">
              <w:rPr>
                <w:rFonts w:ascii="Arial" w:hAnsi="Arial" w:cs="Arial"/>
                <w:sz w:val="20"/>
                <w:szCs w:val="20"/>
              </w:rPr>
              <w:t>of a distribution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F38D2" w:rsidRPr="00906058" w14:paraId="20F7F7C1" w14:textId="226469AA" w:rsidTr="000F38D2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D891" w14:textId="77777777" w:rsidR="000F38D2" w:rsidRPr="00906058" w:rsidRDefault="000F38D2" w:rsidP="00862D3E">
            <w:pPr>
              <w:keepNext/>
              <w:spacing w:before="60" w:after="60" w:line="252" w:lineRule="auto"/>
              <w:rPr>
                <w:rFonts w:ascii="Arial" w:hAnsi="Arial" w:cs="Arial"/>
                <w:sz w:val="20"/>
                <w:szCs w:val="20"/>
              </w:rPr>
            </w:pPr>
            <w:r w:rsidRPr="00906058">
              <w:rPr>
                <w:rFonts w:ascii="Arial" w:hAnsi="Arial" w:cs="Arial"/>
                <w:sz w:val="20"/>
                <w:szCs w:val="20"/>
              </w:rPr>
              <w:t>D3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1DD3" w14:textId="77777777" w:rsidR="000F38D2" w:rsidRPr="00906058" w:rsidRDefault="000F38D2" w:rsidP="00862D3E">
            <w:pPr>
              <w:keepNext/>
              <w:spacing w:before="60" w:after="60" w:line="252" w:lineRule="auto"/>
              <w:rPr>
                <w:rFonts w:ascii="Arial" w:hAnsi="Arial" w:cs="Arial"/>
                <w:sz w:val="20"/>
                <w:szCs w:val="20"/>
              </w:rPr>
            </w:pPr>
            <w:r w:rsidRPr="00906058">
              <w:rPr>
                <w:rFonts w:ascii="Arial" w:hAnsi="Arial" w:cs="Arial"/>
                <w:sz w:val="20"/>
                <w:szCs w:val="20"/>
              </w:rPr>
              <w:t>Decile 3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DD34" w14:textId="3B3932D4" w:rsidR="000F38D2" w:rsidRPr="00906058" w:rsidRDefault="000F38D2" w:rsidP="00862D3E">
            <w:pPr>
              <w:keepNext/>
              <w:spacing w:before="60" w:after="60" w:line="252" w:lineRule="auto"/>
              <w:rPr>
                <w:rFonts w:ascii="Arial" w:hAnsi="Arial" w:cs="Arial"/>
                <w:sz w:val="20"/>
                <w:szCs w:val="20"/>
              </w:rPr>
            </w:pPr>
            <w:r w:rsidRPr="00F9277D">
              <w:rPr>
                <w:rFonts w:ascii="Arial" w:hAnsi="Arial" w:cs="Arial"/>
                <w:sz w:val="20"/>
                <w:szCs w:val="20"/>
              </w:rPr>
              <w:t xml:space="preserve">Value representing the </w:t>
            </w:r>
            <w:r>
              <w:rPr>
                <w:rFonts w:ascii="Arial" w:hAnsi="Arial" w:cs="Arial"/>
                <w:sz w:val="20"/>
                <w:szCs w:val="20"/>
              </w:rPr>
              <w:t>third</w:t>
            </w:r>
            <w:r w:rsidRPr="00F9277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decile </w:t>
            </w:r>
            <w:r w:rsidRPr="009038E5">
              <w:rPr>
                <w:rFonts w:ascii="Arial" w:hAnsi="Arial" w:cs="Arial"/>
                <w:sz w:val="20"/>
                <w:szCs w:val="20"/>
              </w:rPr>
              <w:t>cut point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277D">
              <w:rPr>
                <w:rFonts w:ascii="Arial" w:hAnsi="Arial" w:cs="Arial"/>
                <w:sz w:val="20"/>
                <w:szCs w:val="20"/>
              </w:rPr>
              <w:t>of a distribution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F38D2" w:rsidRPr="00906058" w14:paraId="3248F8B4" w14:textId="7B05F3B1" w:rsidTr="000F38D2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6141" w14:textId="77777777" w:rsidR="000F38D2" w:rsidRPr="00906058" w:rsidRDefault="000F38D2" w:rsidP="00862D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058">
              <w:rPr>
                <w:rFonts w:ascii="Arial" w:hAnsi="Arial" w:cs="Arial"/>
                <w:color w:val="000000"/>
                <w:sz w:val="20"/>
                <w:szCs w:val="20"/>
              </w:rPr>
              <w:t>D4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F904" w14:textId="77777777" w:rsidR="000F38D2" w:rsidRPr="00906058" w:rsidRDefault="000F38D2" w:rsidP="00862D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058">
              <w:rPr>
                <w:rFonts w:ascii="Arial" w:hAnsi="Arial" w:cs="Arial"/>
                <w:color w:val="000000"/>
                <w:sz w:val="20"/>
                <w:szCs w:val="20"/>
              </w:rPr>
              <w:t>Decile 4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F1D8" w14:textId="1C5FC20A" w:rsidR="000F38D2" w:rsidRPr="00906058" w:rsidRDefault="000F38D2" w:rsidP="00862D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277D">
              <w:rPr>
                <w:rFonts w:ascii="Arial" w:hAnsi="Arial" w:cs="Arial"/>
                <w:sz w:val="20"/>
                <w:szCs w:val="20"/>
              </w:rPr>
              <w:t xml:space="preserve">Value representing the </w:t>
            </w:r>
            <w:r>
              <w:rPr>
                <w:rFonts w:ascii="Arial" w:hAnsi="Arial" w:cs="Arial"/>
                <w:sz w:val="20"/>
                <w:szCs w:val="20"/>
              </w:rPr>
              <w:t>fourth</w:t>
            </w:r>
            <w:r w:rsidRPr="00F9277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decile </w:t>
            </w:r>
            <w:r w:rsidRPr="009038E5">
              <w:rPr>
                <w:rFonts w:ascii="Arial" w:hAnsi="Arial" w:cs="Arial"/>
                <w:sz w:val="20"/>
                <w:szCs w:val="20"/>
              </w:rPr>
              <w:t>cut point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277D">
              <w:rPr>
                <w:rFonts w:ascii="Arial" w:hAnsi="Arial" w:cs="Arial"/>
                <w:sz w:val="20"/>
                <w:szCs w:val="20"/>
              </w:rPr>
              <w:t>of a distribution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F38D2" w:rsidRPr="00906058" w14:paraId="132DF979" w14:textId="2ADD3020" w:rsidTr="000F38D2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9DA99" w14:textId="77777777" w:rsidR="000F38D2" w:rsidRPr="00906058" w:rsidRDefault="000F38D2" w:rsidP="00862D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058">
              <w:rPr>
                <w:rFonts w:ascii="Arial" w:hAnsi="Arial" w:cs="Arial"/>
                <w:color w:val="000000"/>
                <w:sz w:val="20"/>
                <w:szCs w:val="20"/>
              </w:rPr>
              <w:t>D5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3E4D1" w14:textId="77777777" w:rsidR="000F38D2" w:rsidRPr="00906058" w:rsidRDefault="000F38D2" w:rsidP="00862D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058">
              <w:rPr>
                <w:rFonts w:ascii="Arial" w:hAnsi="Arial" w:cs="Arial"/>
                <w:color w:val="000000"/>
                <w:sz w:val="20"/>
                <w:szCs w:val="20"/>
              </w:rPr>
              <w:t>Decile 5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ACA6" w14:textId="20A3B700" w:rsidR="000F38D2" w:rsidRPr="00906058" w:rsidRDefault="000F38D2" w:rsidP="00862D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277D">
              <w:rPr>
                <w:rFonts w:ascii="Arial" w:hAnsi="Arial" w:cs="Arial"/>
                <w:sz w:val="20"/>
                <w:szCs w:val="20"/>
              </w:rPr>
              <w:t xml:space="preserve">Value representing the </w:t>
            </w:r>
            <w:r>
              <w:rPr>
                <w:rFonts w:ascii="Arial" w:hAnsi="Arial" w:cs="Arial"/>
                <w:sz w:val="20"/>
                <w:szCs w:val="20"/>
              </w:rPr>
              <w:t>fifth</w:t>
            </w:r>
            <w:r w:rsidRPr="00F9277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decile </w:t>
            </w:r>
            <w:r w:rsidRPr="009038E5">
              <w:rPr>
                <w:rFonts w:ascii="Arial" w:hAnsi="Arial" w:cs="Arial"/>
                <w:sz w:val="20"/>
                <w:szCs w:val="20"/>
              </w:rPr>
              <w:t>cut point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277D">
              <w:rPr>
                <w:rFonts w:ascii="Arial" w:hAnsi="Arial" w:cs="Arial"/>
                <w:sz w:val="20"/>
                <w:szCs w:val="20"/>
              </w:rPr>
              <w:t>of a distribution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F38D2" w:rsidRPr="00906058" w14:paraId="0F660966" w14:textId="367287C1" w:rsidTr="000F38D2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85EBD" w14:textId="77777777" w:rsidR="000F38D2" w:rsidRPr="00906058" w:rsidRDefault="000F38D2" w:rsidP="00862D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058">
              <w:rPr>
                <w:rFonts w:ascii="Arial" w:hAnsi="Arial" w:cs="Arial"/>
                <w:color w:val="000000"/>
                <w:sz w:val="20"/>
                <w:szCs w:val="20"/>
              </w:rPr>
              <w:t>D6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752F3" w14:textId="77777777" w:rsidR="000F38D2" w:rsidRPr="00906058" w:rsidRDefault="000F38D2" w:rsidP="00862D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058">
              <w:rPr>
                <w:rFonts w:ascii="Arial" w:hAnsi="Arial" w:cs="Arial"/>
                <w:color w:val="000000"/>
                <w:sz w:val="20"/>
                <w:szCs w:val="20"/>
              </w:rPr>
              <w:t>Decile 6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5848" w14:textId="43B04BC6" w:rsidR="000F38D2" w:rsidRPr="00906058" w:rsidRDefault="000F38D2" w:rsidP="00862D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44B3">
              <w:rPr>
                <w:rFonts w:ascii="Arial" w:hAnsi="Arial" w:cs="Arial"/>
                <w:sz w:val="20"/>
                <w:szCs w:val="20"/>
              </w:rPr>
              <w:t xml:space="preserve">Value representing the </w:t>
            </w:r>
            <w:r>
              <w:rPr>
                <w:rFonts w:ascii="Arial" w:hAnsi="Arial" w:cs="Arial"/>
                <w:sz w:val="20"/>
                <w:szCs w:val="20"/>
              </w:rPr>
              <w:t>sixth</w:t>
            </w:r>
            <w:r w:rsidRPr="007D44B3">
              <w:rPr>
                <w:rFonts w:ascii="Arial" w:hAnsi="Arial" w:cs="Arial"/>
                <w:sz w:val="20"/>
                <w:szCs w:val="20"/>
              </w:rPr>
              <w:t xml:space="preserve"> decile </w:t>
            </w:r>
            <w:r w:rsidRPr="009038E5">
              <w:rPr>
                <w:rFonts w:ascii="Arial" w:hAnsi="Arial" w:cs="Arial"/>
                <w:sz w:val="20"/>
                <w:szCs w:val="20"/>
              </w:rPr>
              <w:t>cut point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44B3">
              <w:rPr>
                <w:rFonts w:ascii="Arial" w:hAnsi="Arial" w:cs="Arial"/>
                <w:sz w:val="20"/>
                <w:szCs w:val="20"/>
              </w:rPr>
              <w:t>of a distribution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F38D2" w:rsidRPr="00906058" w14:paraId="1925356A" w14:textId="2AFD03C2" w:rsidTr="000F38D2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34EB7" w14:textId="77777777" w:rsidR="000F38D2" w:rsidRPr="00906058" w:rsidRDefault="000F38D2" w:rsidP="00862D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058">
              <w:rPr>
                <w:rFonts w:ascii="Arial" w:hAnsi="Arial" w:cs="Arial"/>
                <w:color w:val="000000"/>
                <w:sz w:val="20"/>
                <w:szCs w:val="20"/>
              </w:rPr>
              <w:t>D7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FB951" w14:textId="77777777" w:rsidR="000F38D2" w:rsidRPr="00906058" w:rsidRDefault="000F38D2" w:rsidP="00862D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058">
              <w:rPr>
                <w:rFonts w:ascii="Arial" w:hAnsi="Arial" w:cs="Arial"/>
                <w:color w:val="000000"/>
                <w:sz w:val="20"/>
                <w:szCs w:val="20"/>
              </w:rPr>
              <w:t>Decile 7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026A" w14:textId="5D57BD6D" w:rsidR="000F38D2" w:rsidRPr="00906058" w:rsidRDefault="000F38D2" w:rsidP="00862D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44B3">
              <w:rPr>
                <w:rFonts w:ascii="Arial" w:hAnsi="Arial" w:cs="Arial"/>
                <w:sz w:val="20"/>
                <w:szCs w:val="20"/>
              </w:rPr>
              <w:t xml:space="preserve">Value representing the </w:t>
            </w:r>
            <w:r>
              <w:rPr>
                <w:rFonts w:ascii="Arial" w:hAnsi="Arial" w:cs="Arial"/>
                <w:sz w:val="20"/>
                <w:szCs w:val="20"/>
              </w:rPr>
              <w:t>seventh</w:t>
            </w:r>
            <w:r w:rsidRPr="007D44B3">
              <w:rPr>
                <w:rFonts w:ascii="Arial" w:hAnsi="Arial" w:cs="Arial"/>
                <w:sz w:val="20"/>
                <w:szCs w:val="20"/>
              </w:rPr>
              <w:t xml:space="preserve"> decile </w:t>
            </w:r>
            <w:r w:rsidRPr="009038E5">
              <w:rPr>
                <w:rFonts w:ascii="Arial" w:hAnsi="Arial" w:cs="Arial"/>
                <w:sz w:val="20"/>
                <w:szCs w:val="20"/>
              </w:rPr>
              <w:t>cut point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44B3">
              <w:rPr>
                <w:rFonts w:ascii="Arial" w:hAnsi="Arial" w:cs="Arial"/>
                <w:sz w:val="20"/>
                <w:szCs w:val="20"/>
              </w:rPr>
              <w:t>of a distribution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F38D2" w:rsidRPr="00906058" w14:paraId="0BBD7F73" w14:textId="4DAAC31A" w:rsidTr="000F38D2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EE6F2" w14:textId="77777777" w:rsidR="000F38D2" w:rsidRPr="00906058" w:rsidRDefault="000F38D2" w:rsidP="00862D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058">
              <w:rPr>
                <w:rFonts w:ascii="Arial" w:hAnsi="Arial" w:cs="Arial"/>
                <w:color w:val="000000"/>
                <w:sz w:val="20"/>
                <w:szCs w:val="20"/>
              </w:rPr>
              <w:t>D8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E97AB" w14:textId="77777777" w:rsidR="000F38D2" w:rsidRPr="00906058" w:rsidRDefault="000F38D2" w:rsidP="00862D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058">
              <w:rPr>
                <w:rFonts w:ascii="Arial" w:hAnsi="Arial" w:cs="Arial"/>
                <w:color w:val="000000"/>
                <w:sz w:val="20"/>
                <w:szCs w:val="20"/>
              </w:rPr>
              <w:t>Decile 8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A283" w14:textId="0A0AD7EA" w:rsidR="000F38D2" w:rsidRPr="00906058" w:rsidRDefault="000F38D2" w:rsidP="00862D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44B3">
              <w:rPr>
                <w:rFonts w:ascii="Arial" w:hAnsi="Arial" w:cs="Arial"/>
                <w:sz w:val="20"/>
                <w:szCs w:val="20"/>
              </w:rPr>
              <w:t xml:space="preserve">Value representing the </w:t>
            </w:r>
            <w:r>
              <w:rPr>
                <w:rFonts w:ascii="Arial" w:hAnsi="Arial" w:cs="Arial"/>
                <w:sz w:val="20"/>
                <w:szCs w:val="20"/>
              </w:rPr>
              <w:t>eighth</w:t>
            </w:r>
            <w:r w:rsidRPr="007D44B3">
              <w:rPr>
                <w:rFonts w:ascii="Arial" w:hAnsi="Arial" w:cs="Arial"/>
                <w:sz w:val="20"/>
                <w:szCs w:val="20"/>
              </w:rPr>
              <w:t xml:space="preserve"> decile </w:t>
            </w:r>
            <w:r w:rsidRPr="009038E5">
              <w:rPr>
                <w:rFonts w:ascii="Arial" w:hAnsi="Arial" w:cs="Arial"/>
                <w:sz w:val="20"/>
                <w:szCs w:val="20"/>
              </w:rPr>
              <w:t>cut point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44B3">
              <w:rPr>
                <w:rFonts w:ascii="Arial" w:hAnsi="Arial" w:cs="Arial"/>
                <w:sz w:val="20"/>
                <w:szCs w:val="20"/>
              </w:rPr>
              <w:t>of a distribution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F38D2" w:rsidRPr="00906058" w14:paraId="34948B4E" w14:textId="3FB89EC5" w:rsidTr="000F38D2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09DC" w14:textId="77777777" w:rsidR="000F38D2" w:rsidRPr="00906058" w:rsidRDefault="000F38D2" w:rsidP="00862D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058">
              <w:rPr>
                <w:rFonts w:ascii="Arial" w:hAnsi="Arial" w:cs="Arial"/>
                <w:color w:val="000000"/>
                <w:sz w:val="20"/>
                <w:szCs w:val="20"/>
              </w:rPr>
              <w:t>D9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A27C5" w14:textId="77777777" w:rsidR="000F38D2" w:rsidRPr="00906058" w:rsidRDefault="000F38D2" w:rsidP="00862D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058">
              <w:rPr>
                <w:rFonts w:ascii="Arial" w:hAnsi="Arial" w:cs="Arial"/>
                <w:color w:val="000000"/>
                <w:sz w:val="20"/>
                <w:szCs w:val="20"/>
              </w:rPr>
              <w:t>Decile 9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88D0" w14:textId="5D09F343" w:rsidR="000F38D2" w:rsidRPr="00906058" w:rsidRDefault="000F38D2" w:rsidP="00862D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44B3">
              <w:rPr>
                <w:rFonts w:ascii="Arial" w:hAnsi="Arial" w:cs="Arial"/>
                <w:sz w:val="20"/>
                <w:szCs w:val="20"/>
              </w:rPr>
              <w:t xml:space="preserve">Value representing the </w:t>
            </w:r>
            <w:r>
              <w:rPr>
                <w:rFonts w:ascii="Arial" w:hAnsi="Arial" w:cs="Arial"/>
                <w:sz w:val="20"/>
                <w:szCs w:val="20"/>
              </w:rPr>
              <w:t>ninth</w:t>
            </w:r>
            <w:r w:rsidRPr="007D44B3">
              <w:rPr>
                <w:rFonts w:ascii="Arial" w:hAnsi="Arial" w:cs="Arial"/>
                <w:sz w:val="20"/>
                <w:szCs w:val="20"/>
              </w:rPr>
              <w:t xml:space="preserve"> decile </w:t>
            </w:r>
            <w:r w:rsidRPr="009038E5">
              <w:rPr>
                <w:rFonts w:ascii="Arial" w:hAnsi="Arial" w:cs="Arial"/>
                <w:sz w:val="20"/>
                <w:szCs w:val="20"/>
              </w:rPr>
              <w:t>cut point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44B3">
              <w:rPr>
                <w:rFonts w:ascii="Arial" w:hAnsi="Arial" w:cs="Arial"/>
                <w:sz w:val="20"/>
                <w:szCs w:val="20"/>
              </w:rPr>
              <w:t>of a distribution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F38D2" w:rsidRPr="00906058" w14:paraId="0BCA0E42" w14:textId="227AD903" w:rsidTr="000F38D2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3E08" w14:textId="29963975" w:rsidR="000F38D2" w:rsidRPr="00906058" w:rsidRDefault="000F3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058">
              <w:rPr>
                <w:rFonts w:ascii="Arial" w:hAnsi="Arial" w:cs="Arial"/>
                <w:color w:val="000000"/>
                <w:sz w:val="20"/>
                <w:szCs w:val="20"/>
              </w:rPr>
              <w:t>BOUND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F9A29" w14:textId="77777777" w:rsidR="000F38D2" w:rsidRPr="00906058" w:rsidRDefault="000F3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058">
              <w:rPr>
                <w:rFonts w:ascii="Arial" w:hAnsi="Arial" w:cs="Arial"/>
                <w:color w:val="000000"/>
                <w:sz w:val="20"/>
                <w:szCs w:val="20"/>
              </w:rPr>
              <w:t>Lower bound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E6D6" w14:textId="1DA7AD22" w:rsidR="000F38D2" w:rsidRPr="00906058" w:rsidRDefault="000F38D2" w:rsidP="00862D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44B3">
              <w:rPr>
                <w:rFonts w:ascii="Arial" w:hAnsi="Arial" w:cs="Arial"/>
                <w:sz w:val="20"/>
                <w:szCs w:val="20"/>
              </w:rPr>
              <w:t xml:space="preserve">Value representing the </w:t>
            </w:r>
            <w:r>
              <w:rPr>
                <w:rFonts w:ascii="Arial" w:hAnsi="Arial" w:cs="Arial"/>
                <w:sz w:val="20"/>
                <w:szCs w:val="20"/>
              </w:rPr>
              <w:t>lower bound of a distribution.</w:t>
            </w:r>
          </w:p>
        </w:tc>
      </w:tr>
      <w:tr w:rsidR="000F38D2" w:rsidRPr="00906058" w14:paraId="11DFA90E" w14:textId="54CBCB71" w:rsidTr="000F38D2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1BB16" w14:textId="03270DD5" w:rsidR="000F38D2" w:rsidRPr="00906058" w:rsidRDefault="000F3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058">
              <w:rPr>
                <w:rFonts w:ascii="Arial" w:hAnsi="Arial" w:cs="Arial"/>
                <w:color w:val="000000"/>
                <w:sz w:val="20"/>
                <w:szCs w:val="20"/>
              </w:rPr>
              <w:t>BOUND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3547" w14:textId="77777777" w:rsidR="000F38D2" w:rsidRPr="00906058" w:rsidRDefault="000F3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058">
              <w:rPr>
                <w:rFonts w:ascii="Arial" w:hAnsi="Arial" w:cs="Arial"/>
                <w:color w:val="000000"/>
                <w:sz w:val="20"/>
                <w:szCs w:val="20"/>
              </w:rPr>
              <w:t>Upper bound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C9E0" w14:textId="44A9B9BB" w:rsidR="000F38D2" w:rsidRPr="00906058" w:rsidRDefault="000F3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44B3">
              <w:rPr>
                <w:rFonts w:ascii="Arial" w:hAnsi="Arial" w:cs="Arial"/>
                <w:sz w:val="20"/>
                <w:szCs w:val="20"/>
              </w:rPr>
              <w:t xml:space="preserve">Value representing the </w:t>
            </w:r>
            <w:r>
              <w:rPr>
                <w:rFonts w:ascii="Arial" w:hAnsi="Arial" w:cs="Arial"/>
                <w:sz w:val="20"/>
                <w:szCs w:val="20"/>
              </w:rPr>
              <w:t>lower bound of a distribution.</w:t>
            </w:r>
          </w:p>
        </w:tc>
      </w:tr>
      <w:tr w:rsidR="000F38D2" w:rsidRPr="00906058" w14:paraId="7E264A5D" w14:textId="4ED587EB" w:rsidTr="000F38D2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543C5" w14:textId="77777777" w:rsidR="000F38D2" w:rsidRPr="00906058" w:rsidRDefault="000F3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058">
              <w:rPr>
                <w:rFonts w:ascii="Arial" w:hAnsi="Arial" w:cs="Arial"/>
                <w:color w:val="000000"/>
                <w:sz w:val="20"/>
                <w:szCs w:val="20"/>
              </w:rPr>
              <w:t>D9_5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5B38E" w14:textId="77777777" w:rsidR="000F38D2" w:rsidRPr="00906058" w:rsidRDefault="000F3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058">
              <w:rPr>
                <w:rFonts w:ascii="Arial" w:hAnsi="Arial" w:cs="Arial"/>
                <w:color w:val="000000"/>
                <w:sz w:val="20"/>
                <w:szCs w:val="20"/>
              </w:rPr>
              <w:t>Decile 9/5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F9B4" w14:textId="640E1719" w:rsidR="000F38D2" w:rsidRPr="00906058" w:rsidRDefault="003262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6251">
              <w:rPr>
                <w:rFonts w:ascii="Arial" w:hAnsi="Arial" w:cs="Arial"/>
                <w:color w:val="000000"/>
                <w:sz w:val="20"/>
                <w:szCs w:val="20"/>
              </w:rPr>
              <w:t>Value representing the ratio of the ninth decile to the fifth decile</w:t>
            </w:r>
            <w:r w:rsidR="002B5DF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0F38D2" w:rsidRPr="00906058" w14:paraId="6064F974" w14:textId="1E50A502" w:rsidTr="000F38D2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FD4B0" w14:textId="77777777" w:rsidR="000F38D2" w:rsidRPr="00906058" w:rsidRDefault="000F3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05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D9_1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F23FF" w14:textId="77777777" w:rsidR="000F38D2" w:rsidRPr="00906058" w:rsidRDefault="000F3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058">
              <w:rPr>
                <w:rFonts w:ascii="Arial" w:hAnsi="Arial" w:cs="Arial"/>
                <w:color w:val="000000"/>
                <w:sz w:val="20"/>
                <w:szCs w:val="20"/>
              </w:rPr>
              <w:t>Decile 9/1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CE01" w14:textId="0B99163E" w:rsidR="000F38D2" w:rsidRPr="00906058" w:rsidRDefault="002B5D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5DFF">
              <w:rPr>
                <w:rFonts w:ascii="Arial" w:hAnsi="Arial" w:cs="Arial"/>
                <w:color w:val="000000"/>
                <w:sz w:val="20"/>
                <w:szCs w:val="20"/>
              </w:rPr>
              <w:t>Value representing the ratio of the ninth decile to the first decile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0F38D2" w:rsidRPr="00906058" w14:paraId="09EC3C03" w14:textId="7140E922" w:rsidTr="000F38D2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2AEE2" w14:textId="77777777" w:rsidR="000F38D2" w:rsidRPr="00906058" w:rsidRDefault="000F3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058">
              <w:rPr>
                <w:rFonts w:ascii="Arial" w:hAnsi="Arial" w:cs="Arial"/>
                <w:color w:val="000000"/>
                <w:sz w:val="20"/>
                <w:szCs w:val="20"/>
              </w:rPr>
              <w:t>D5_1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BE279" w14:textId="77777777" w:rsidR="000F38D2" w:rsidRPr="00906058" w:rsidRDefault="000F3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058">
              <w:rPr>
                <w:rFonts w:ascii="Arial" w:hAnsi="Arial" w:cs="Arial"/>
                <w:color w:val="000000"/>
                <w:sz w:val="20"/>
                <w:szCs w:val="20"/>
              </w:rPr>
              <w:t>Decile 5/1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419E" w14:textId="783DA112" w:rsidR="000F38D2" w:rsidRPr="00906058" w:rsidRDefault="002B5D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5DFF">
              <w:rPr>
                <w:rFonts w:ascii="Arial" w:hAnsi="Arial" w:cs="Arial"/>
                <w:color w:val="000000"/>
                <w:sz w:val="20"/>
                <w:szCs w:val="20"/>
              </w:rPr>
              <w:t>Value representing the ratio of the fifth decile to the first decile.</w:t>
            </w:r>
          </w:p>
        </w:tc>
      </w:tr>
      <w:tr w:rsidR="000F38D2" w:rsidRPr="00906058" w14:paraId="004339E4" w14:textId="6D61C7A4" w:rsidTr="000F38D2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702E6" w14:textId="77777777" w:rsidR="000F38D2" w:rsidRPr="00906058" w:rsidRDefault="000F38D2" w:rsidP="00862D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058">
              <w:rPr>
                <w:rFonts w:ascii="Arial" w:hAnsi="Arial" w:cs="Arial"/>
                <w:color w:val="000000"/>
                <w:sz w:val="20"/>
                <w:szCs w:val="20"/>
              </w:rPr>
              <w:t>QRT1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71A27" w14:textId="77777777" w:rsidR="000F38D2" w:rsidRPr="00906058" w:rsidRDefault="000F38D2" w:rsidP="00862D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058">
              <w:rPr>
                <w:rFonts w:ascii="Arial" w:hAnsi="Arial" w:cs="Arial"/>
                <w:color w:val="000000"/>
                <w:sz w:val="20"/>
                <w:szCs w:val="20"/>
              </w:rPr>
              <w:t>Quartile 1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6D62" w14:textId="1CF0507F" w:rsidR="000F38D2" w:rsidRPr="00906058" w:rsidRDefault="000F38D2" w:rsidP="00862D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Value representing the first quartile </w:t>
            </w:r>
            <w:r w:rsidRPr="009038E5">
              <w:rPr>
                <w:rFonts w:ascii="Arial" w:hAnsi="Arial" w:cs="Arial"/>
                <w:sz w:val="20"/>
                <w:szCs w:val="20"/>
              </w:rPr>
              <w:t>cut point</w:t>
            </w:r>
            <w:r>
              <w:rPr>
                <w:rFonts w:ascii="Arial" w:hAnsi="Arial" w:cs="Arial"/>
                <w:sz w:val="20"/>
                <w:szCs w:val="20"/>
              </w:rPr>
              <w:t xml:space="preserve"> of a distribution.</w:t>
            </w:r>
          </w:p>
        </w:tc>
      </w:tr>
      <w:tr w:rsidR="000F38D2" w:rsidRPr="00906058" w14:paraId="5450093B" w14:textId="4F01E4D3" w:rsidTr="000F38D2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08CA3" w14:textId="77777777" w:rsidR="000F38D2" w:rsidRPr="00906058" w:rsidRDefault="000F38D2" w:rsidP="00862D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058">
              <w:rPr>
                <w:rFonts w:ascii="Arial" w:hAnsi="Arial" w:cs="Arial"/>
                <w:color w:val="000000"/>
                <w:sz w:val="20"/>
                <w:szCs w:val="20"/>
              </w:rPr>
              <w:t>QRT2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01485" w14:textId="77777777" w:rsidR="000F38D2" w:rsidRPr="00906058" w:rsidRDefault="000F38D2" w:rsidP="00862D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058">
              <w:rPr>
                <w:rFonts w:ascii="Arial" w:hAnsi="Arial" w:cs="Arial"/>
                <w:color w:val="000000"/>
                <w:sz w:val="20"/>
                <w:szCs w:val="20"/>
              </w:rPr>
              <w:t>Quartile 2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4524" w14:textId="4A4CE35D" w:rsidR="000F38D2" w:rsidRPr="00906058" w:rsidRDefault="000F38D2" w:rsidP="00862D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277D">
              <w:rPr>
                <w:rFonts w:ascii="Arial" w:hAnsi="Arial" w:cs="Arial"/>
                <w:sz w:val="20"/>
                <w:szCs w:val="20"/>
              </w:rPr>
              <w:t xml:space="preserve">Value representing the </w:t>
            </w:r>
            <w:r>
              <w:rPr>
                <w:rFonts w:ascii="Arial" w:hAnsi="Arial" w:cs="Arial"/>
                <w:sz w:val="20"/>
                <w:szCs w:val="20"/>
              </w:rPr>
              <w:t>second</w:t>
            </w:r>
            <w:r w:rsidRPr="00F9277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quartile </w:t>
            </w:r>
            <w:r w:rsidRPr="009038E5">
              <w:rPr>
                <w:rFonts w:ascii="Arial" w:hAnsi="Arial" w:cs="Arial"/>
                <w:sz w:val="20"/>
                <w:szCs w:val="20"/>
              </w:rPr>
              <w:t>cut point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277D">
              <w:rPr>
                <w:rFonts w:ascii="Arial" w:hAnsi="Arial" w:cs="Arial"/>
                <w:sz w:val="20"/>
                <w:szCs w:val="20"/>
              </w:rPr>
              <w:t>of a distribution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F38D2" w:rsidRPr="00906058" w14:paraId="69948079" w14:textId="097DB159" w:rsidTr="000F38D2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F1140" w14:textId="77777777" w:rsidR="000F38D2" w:rsidRPr="00906058" w:rsidRDefault="000F38D2" w:rsidP="00862D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058">
              <w:rPr>
                <w:rFonts w:ascii="Arial" w:hAnsi="Arial" w:cs="Arial"/>
                <w:color w:val="000000"/>
                <w:sz w:val="20"/>
                <w:szCs w:val="20"/>
              </w:rPr>
              <w:t>QRT3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57E8C" w14:textId="77777777" w:rsidR="000F38D2" w:rsidRPr="00906058" w:rsidRDefault="000F38D2" w:rsidP="00862D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058">
              <w:rPr>
                <w:rFonts w:ascii="Arial" w:hAnsi="Arial" w:cs="Arial"/>
                <w:color w:val="000000"/>
                <w:sz w:val="20"/>
                <w:szCs w:val="20"/>
              </w:rPr>
              <w:t>Quartile 3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6D4C" w14:textId="02BB4EB7" w:rsidR="000F38D2" w:rsidRPr="00906058" w:rsidRDefault="000F38D2" w:rsidP="00862D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277D">
              <w:rPr>
                <w:rFonts w:ascii="Arial" w:hAnsi="Arial" w:cs="Arial"/>
                <w:sz w:val="20"/>
                <w:szCs w:val="20"/>
              </w:rPr>
              <w:t xml:space="preserve">Value representing the </w:t>
            </w:r>
            <w:r>
              <w:rPr>
                <w:rFonts w:ascii="Arial" w:hAnsi="Arial" w:cs="Arial"/>
                <w:sz w:val="20"/>
                <w:szCs w:val="20"/>
              </w:rPr>
              <w:t>third</w:t>
            </w:r>
            <w:r w:rsidRPr="00F9277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quartile </w:t>
            </w:r>
            <w:r w:rsidRPr="009038E5">
              <w:rPr>
                <w:rFonts w:ascii="Arial" w:hAnsi="Arial" w:cs="Arial"/>
                <w:sz w:val="20"/>
                <w:szCs w:val="20"/>
              </w:rPr>
              <w:t>cut point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277D">
              <w:rPr>
                <w:rFonts w:ascii="Arial" w:hAnsi="Arial" w:cs="Arial"/>
                <w:sz w:val="20"/>
                <w:szCs w:val="20"/>
              </w:rPr>
              <w:t>of a distribution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F38D2" w:rsidRPr="00906058" w14:paraId="64992181" w14:textId="2BB34A0D" w:rsidTr="000F38D2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FC13" w14:textId="77777777" w:rsidR="000F38D2" w:rsidRPr="00906058" w:rsidRDefault="000F3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058">
              <w:rPr>
                <w:rFonts w:ascii="Arial" w:hAnsi="Arial" w:cs="Arial"/>
                <w:color w:val="000000"/>
                <w:sz w:val="20"/>
                <w:szCs w:val="20"/>
              </w:rPr>
              <w:t>SD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73501" w14:textId="77777777" w:rsidR="000F38D2" w:rsidRPr="00906058" w:rsidRDefault="000F38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058">
              <w:rPr>
                <w:rFonts w:ascii="Arial" w:hAnsi="Arial" w:cs="Arial"/>
                <w:color w:val="000000"/>
                <w:sz w:val="20"/>
                <w:szCs w:val="20"/>
              </w:rPr>
              <w:t>Standard deviation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194A" w14:textId="6CD16344" w:rsidR="000F38D2" w:rsidRPr="00906058" w:rsidRDefault="000F38D2" w:rsidP="00862D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44B3">
              <w:rPr>
                <w:rFonts w:ascii="Arial" w:hAnsi="Arial" w:cs="Arial"/>
                <w:sz w:val="20"/>
                <w:szCs w:val="20"/>
              </w:rPr>
              <w:t xml:space="preserve">Value representing the </w:t>
            </w:r>
            <w:r>
              <w:rPr>
                <w:rFonts w:ascii="Arial" w:hAnsi="Arial" w:cs="Arial"/>
                <w:sz w:val="20"/>
                <w:szCs w:val="20"/>
              </w:rPr>
              <w:t>standard deviation of a distribution.</w:t>
            </w:r>
          </w:p>
        </w:tc>
      </w:tr>
      <w:tr w:rsidR="000F38D2" w:rsidRPr="00906058" w14:paraId="42DF9BD9" w14:textId="2ED3F2EC" w:rsidTr="000F38D2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75044" w14:textId="77777777" w:rsidR="000F38D2" w:rsidRPr="00906058" w:rsidRDefault="000F38D2" w:rsidP="005276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058">
              <w:rPr>
                <w:rFonts w:ascii="Arial" w:hAnsi="Arial" w:cs="Arial"/>
                <w:color w:val="000000"/>
                <w:sz w:val="20"/>
                <w:szCs w:val="20"/>
              </w:rPr>
              <w:t>VAR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F2AF3" w14:textId="77777777" w:rsidR="000F38D2" w:rsidRPr="00906058" w:rsidRDefault="000F38D2" w:rsidP="005276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058">
              <w:rPr>
                <w:rFonts w:ascii="Arial" w:hAnsi="Arial" w:cs="Arial"/>
                <w:color w:val="000000"/>
                <w:sz w:val="20"/>
                <w:szCs w:val="20"/>
              </w:rPr>
              <w:t>Variance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90A4" w14:textId="37DA0943" w:rsidR="000F38D2" w:rsidRPr="00906058" w:rsidRDefault="000F38D2" w:rsidP="005276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44B3">
              <w:rPr>
                <w:rFonts w:ascii="Arial" w:hAnsi="Arial" w:cs="Arial"/>
                <w:sz w:val="20"/>
                <w:szCs w:val="20"/>
              </w:rPr>
              <w:t xml:space="preserve">Value representing the </w:t>
            </w:r>
            <w:r>
              <w:rPr>
                <w:rFonts w:ascii="Arial" w:hAnsi="Arial" w:cs="Arial"/>
                <w:sz w:val="20"/>
                <w:szCs w:val="20"/>
              </w:rPr>
              <w:t>variance of a distribution.</w:t>
            </w:r>
          </w:p>
        </w:tc>
      </w:tr>
      <w:tr w:rsidR="000F38D2" w:rsidRPr="00906058" w14:paraId="747F24FC" w14:textId="3B4DB028" w:rsidTr="000F38D2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A9912" w14:textId="77777777" w:rsidR="000F38D2" w:rsidRPr="00906058" w:rsidRDefault="000F38D2" w:rsidP="005276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058">
              <w:rPr>
                <w:rFonts w:ascii="Arial" w:hAnsi="Arial" w:cs="Arial"/>
                <w:color w:val="000000"/>
                <w:sz w:val="20"/>
                <w:szCs w:val="20"/>
              </w:rPr>
              <w:t>KUR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EF4B8" w14:textId="77777777" w:rsidR="000F38D2" w:rsidRPr="00906058" w:rsidRDefault="000F38D2" w:rsidP="005276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058">
              <w:rPr>
                <w:rFonts w:ascii="Arial" w:hAnsi="Arial" w:cs="Arial"/>
                <w:color w:val="000000"/>
                <w:sz w:val="20"/>
                <w:szCs w:val="20"/>
              </w:rPr>
              <w:t>Kurtosis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0D90" w14:textId="119E703E" w:rsidR="000F38D2" w:rsidRPr="00906058" w:rsidRDefault="000F38D2" w:rsidP="005276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Value representing </w:t>
            </w:r>
            <w:r w:rsidRPr="000F281E">
              <w:rPr>
                <w:rFonts w:ascii="Arial" w:hAnsi="Arial" w:cs="Arial"/>
                <w:color w:val="000000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“</w:t>
            </w:r>
            <w:r w:rsidRPr="000F281E">
              <w:rPr>
                <w:rFonts w:ascii="Arial" w:hAnsi="Arial" w:cs="Arial"/>
                <w:color w:val="000000"/>
                <w:sz w:val="20"/>
                <w:szCs w:val="20"/>
              </w:rPr>
              <w:t>tailedness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  <w:r w:rsidRPr="000F281E">
              <w:rPr>
                <w:rFonts w:ascii="Arial" w:hAnsi="Arial" w:cs="Arial"/>
                <w:color w:val="000000"/>
                <w:sz w:val="20"/>
                <w:szCs w:val="20"/>
              </w:rPr>
              <w:t xml:space="preserve"> of the probability distribution of a real-valued random variable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0F38D2" w:rsidRPr="00906058" w14:paraId="3046E19F" w14:textId="7B8C9549" w:rsidTr="000F38D2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AD859" w14:textId="77777777" w:rsidR="000F38D2" w:rsidRPr="00906058" w:rsidRDefault="000F38D2" w:rsidP="005276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058">
              <w:rPr>
                <w:rFonts w:ascii="Arial" w:hAnsi="Arial" w:cs="Arial"/>
                <w:color w:val="000000"/>
                <w:sz w:val="20"/>
                <w:szCs w:val="20"/>
              </w:rPr>
              <w:t>SKEW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AB177" w14:textId="77777777" w:rsidR="000F38D2" w:rsidRPr="00906058" w:rsidRDefault="000F38D2" w:rsidP="005276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058">
              <w:rPr>
                <w:rFonts w:ascii="Arial" w:hAnsi="Arial" w:cs="Arial"/>
                <w:color w:val="000000"/>
                <w:sz w:val="20"/>
                <w:szCs w:val="20"/>
              </w:rPr>
              <w:t>Skewness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E557" w14:textId="4DF53064" w:rsidR="000F38D2" w:rsidRPr="00906058" w:rsidRDefault="000F38D2" w:rsidP="005276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Value r</w:t>
            </w:r>
            <w:r w:rsidRPr="000F281E">
              <w:rPr>
                <w:rFonts w:ascii="Arial" w:hAnsi="Arial" w:cs="Arial"/>
                <w:color w:val="000000"/>
                <w:sz w:val="20"/>
                <w:szCs w:val="20"/>
              </w:rPr>
              <w:t>epresenting the measure of the lack of symmetry of a distribution</w:t>
            </w:r>
          </w:p>
        </w:tc>
      </w:tr>
      <w:tr w:rsidR="000F38D2" w:rsidRPr="00906058" w14:paraId="4B856BED" w14:textId="76B3A66D" w:rsidTr="000F38D2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FF375" w14:textId="197B50DC" w:rsidR="000F38D2" w:rsidRPr="00906058" w:rsidRDefault="000F38D2" w:rsidP="005276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058">
              <w:rPr>
                <w:rFonts w:ascii="Arial" w:hAnsi="Arial" w:cs="Arial"/>
                <w:color w:val="000000"/>
                <w:sz w:val="20"/>
                <w:szCs w:val="20"/>
              </w:rPr>
              <w:t>AD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BCB5C" w14:textId="77777777" w:rsidR="000F38D2" w:rsidRPr="00906058" w:rsidRDefault="000F38D2" w:rsidP="005276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058">
              <w:rPr>
                <w:rFonts w:ascii="Arial" w:hAnsi="Arial" w:cs="Arial"/>
                <w:color w:val="000000"/>
                <w:sz w:val="20"/>
                <w:szCs w:val="20"/>
              </w:rPr>
              <w:t>Mean absolute deviation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1E71" w14:textId="42A215FF" w:rsidR="000F38D2" w:rsidRPr="00906058" w:rsidRDefault="000F38D2" w:rsidP="005276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44B3">
              <w:rPr>
                <w:rFonts w:ascii="Arial" w:hAnsi="Arial" w:cs="Arial"/>
                <w:sz w:val="20"/>
                <w:szCs w:val="20"/>
              </w:rPr>
              <w:t xml:space="preserve">Value representing the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906058">
              <w:rPr>
                <w:rFonts w:ascii="Arial" w:hAnsi="Arial" w:cs="Arial"/>
                <w:color w:val="000000"/>
                <w:sz w:val="20"/>
                <w:szCs w:val="20"/>
              </w:rPr>
              <w:t>ean absolute deviation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of a distribution.</w:t>
            </w:r>
          </w:p>
        </w:tc>
      </w:tr>
      <w:tr w:rsidR="000F38D2" w:rsidRPr="00906058" w14:paraId="769E7EEA" w14:textId="08AFAC2E" w:rsidTr="000F38D2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216EA" w14:textId="7E4A0A00" w:rsidR="000F38D2" w:rsidRPr="00906058" w:rsidRDefault="000F38D2" w:rsidP="005276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ADMEDIAN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5EE65" w14:textId="0B0C0938" w:rsidR="000F38D2" w:rsidRPr="00906058" w:rsidRDefault="000F38D2" w:rsidP="005276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Median </w:t>
            </w:r>
            <w:r w:rsidRPr="00E33B50">
              <w:rPr>
                <w:rFonts w:ascii="Arial" w:hAnsi="Arial" w:cs="Arial"/>
                <w:color w:val="000000"/>
                <w:sz w:val="20"/>
                <w:szCs w:val="20"/>
              </w:rPr>
              <w:t>absolute deviation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54EE" w14:textId="1BEEB876" w:rsidR="000F38D2" w:rsidRPr="007D44B3" w:rsidRDefault="000F38D2" w:rsidP="005276EC">
            <w:pPr>
              <w:rPr>
                <w:rFonts w:ascii="Arial" w:hAnsi="Arial" w:cs="Arial"/>
                <w:sz w:val="20"/>
                <w:szCs w:val="20"/>
              </w:rPr>
            </w:pPr>
            <w:r w:rsidRPr="007D44B3">
              <w:rPr>
                <w:rFonts w:ascii="Arial" w:hAnsi="Arial" w:cs="Arial"/>
                <w:sz w:val="20"/>
                <w:szCs w:val="20"/>
              </w:rPr>
              <w:t xml:space="preserve">Value representing the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906058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di</w:t>
            </w:r>
            <w:r w:rsidRPr="00906058">
              <w:rPr>
                <w:rFonts w:ascii="Arial" w:hAnsi="Arial" w:cs="Arial"/>
                <w:color w:val="000000"/>
                <w:sz w:val="20"/>
                <w:szCs w:val="20"/>
              </w:rPr>
              <w:t>an absolute deviation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of a distribution.</w:t>
            </w:r>
          </w:p>
        </w:tc>
      </w:tr>
      <w:tr w:rsidR="000F38D2" w:rsidRPr="00906058" w14:paraId="4F39E911" w14:textId="531CD394" w:rsidTr="000F38D2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A4554" w14:textId="77777777" w:rsidR="000F38D2" w:rsidRPr="00906058" w:rsidRDefault="000F38D2" w:rsidP="005276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058">
              <w:rPr>
                <w:rFonts w:ascii="Arial" w:hAnsi="Arial" w:cs="Arial"/>
                <w:color w:val="000000"/>
                <w:sz w:val="20"/>
                <w:szCs w:val="20"/>
              </w:rPr>
              <w:t xml:space="preserve">SUM 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28660" w14:textId="77777777" w:rsidR="000F38D2" w:rsidRPr="00906058" w:rsidRDefault="000F38D2" w:rsidP="005276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058">
              <w:rPr>
                <w:rFonts w:ascii="Arial" w:hAnsi="Arial" w:cs="Arial"/>
                <w:color w:val="000000"/>
                <w:sz w:val="20"/>
                <w:szCs w:val="20"/>
              </w:rPr>
              <w:t>Raw sum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C598" w14:textId="77777777" w:rsidR="000F38D2" w:rsidRDefault="000F38D2" w:rsidP="005276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Value computed as a sum of values.</w:t>
            </w:r>
          </w:p>
          <w:p w14:paraId="0DA51471" w14:textId="30D7B14B" w:rsidR="000F38D2" w:rsidRPr="00906058" w:rsidRDefault="000F38D2" w:rsidP="005276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Example: the </w:t>
            </w:r>
            <w:r w:rsidRPr="009101BE">
              <w:rPr>
                <w:rFonts w:ascii="Arial" w:hAnsi="Arial" w:cs="Arial"/>
                <w:sz w:val="20"/>
                <w:szCs w:val="20"/>
              </w:rPr>
              <w:t>gross domestic product</w:t>
            </w:r>
            <w:r>
              <w:rPr>
                <w:rFonts w:ascii="Arial" w:hAnsi="Arial" w:cs="Arial"/>
                <w:sz w:val="20"/>
                <w:szCs w:val="20"/>
              </w:rPr>
              <w:t xml:space="preserve"> of a country.</w:t>
            </w:r>
          </w:p>
        </w:tc>
      </w:tr>
      <w:tr w:rsidR="000F38D2" w:rsidRPr="00906058" w14:paraId="61F3E4C9" w14:textId="4808C731" w:rsidTr="000F38D2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02FF" w14:textId="20EBEDCC" w:rsidR="000F38D2" w:rsidRPr="00906058" w:rsidRDefault="000F38D2" w:rsidP="005276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058">
              <w:rPr>
                <w:rFonts w:ascii="Arial" w:hAnsi="Arial" w:cs="Arial"/>
                <w:color w:val="000000"/>
                <w:sz w:val="20"/>
                <w:szCs w:val="20"/>
              </w:rPr>
              <w:t>SUM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2D7F8" w14:textId="77777777" w:rsidR="000F38D2" w:rsidRPr="00906058" w:rsidRDefault="000F38D2" w:rsidP="005276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058">
              <w:rPr>
                <w:rFonts w:ascii="Arial" w:hAnsi="Arial" w:cs="Arial"/>
                <w:color w:val="000000"/>
                <w:sz w:val="20"/>
                <w:szCs w:val="20"/>
              </w:rPr>
              <w:t>Weighted sum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1303" w14:textId="5DB95AA5" w:rsidR="000F38D2" w:rsidRPr="00906058" w:rsidRDefault="000F38D2" w:rsidP="005276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Value computed as a weighted sum of values.</w:t>
            </w:r>
          </w:p>
        </w:tc>
      </w:tr>
      <w:tr w:rsidR="000F38D2" w:rsidRPr="00906058" w14:paraId="2BC670EC" w14:textId="5ED6D20C" w:rsidTr="000F38D2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ECDA" w14:textId="160E7BA9" w:rsidR="000F38D2" w:rsidRPr="00906058" w:rsidRDefault="000F38D2" w:rsidP="005276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058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ANGEIQ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4E5E" w14:textId="77777777" w:rsidR="000F38D2" w:rsidRPr="00906058" w:rsidRDefault="000F38D2" w:rsidP="005276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058">
              <w:rPr>
                <w:rFonts w:ascii="Arial" w:hAnsi="Arial" w:cs="Arial"/>
                <w:color w:val="000000"/>
                <w:sz w:val="20"/>
                <w:szCs w:val="20"/>
              </w:rPr>
              <w:t>Interquartile range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627C" w14:textId="49D6BB60" w:rsidR="000F38D2" w:rsidRPr="00906058" w:rsidRDefault="000F38D2" w:rsidP="005276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81E">
              <w:rPr>
                <w:rFonts w:ascii="Arial" w:hAnsi="Arial" w:cs="Arial"/>
                <w:color w:val="000000"/>
                <w:sz w:val="20"/>
                <w:szCs w:val="20"/>
              </w:rPr>
              <w:t>Value representing the interquartile range of a distribution.</w:t>
            </w:r>
          </w:p>
        </w:tc>
      </w:tr>
      <w:tr w:rsidR="000F38D2" w:rsidRPr="00906058" w14:paraId="58BD91AA" w14:textId="5C5A4D42" w:rsidTr="000F38D2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F11A8" w14:textId="3A297D17" w:rsidR="000F38D2" w:rsidRPr="00906058" w:rsidRDefault="000F38D2" w:rsidP="005276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RANGE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52C02" w14:textId="4937FCF0" w:rsidR="000F38D2" w:rsidRPr="00906058" w:rsidRDefault="000F38D2" w:rsidP="005276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Range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F144" w14:textId="12E56AFF" w:rsidR="000F38D2" w:rsidRPr="00876815" w:rsidRDefault="000F38D2" w:rsidP="005276EC">
            <w:pPr>
              <w:rPr>
                <w:rFonts w:ascii="Arial" w:hAnsi="Arial" w:cs="Arial"/>
                <w:sz w:val="20"/>
                <w:szCs w:val="20"/>
              </w:rPr>
            </w:pPr>
            <w:r w:rsidRPr="000F281E">
              <w:rPr>
                <w:rFonts w:ascii="Arial" w:hAnsi="Arial" w:cs="Arial"/>
                <w:sz w:val="20"/>
                <w:szCs w:val="20"/>
              </w:rPr>
              <w:t>Value representing the difference between the largest and the smallest values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281E">
              <w:rPr>
                <w:rFonts w:ascii="Arial" w:hAnsi="Arial" w:cs="Arial"/>
                <w:sz w:val="20"/>
                <w:szCs w:val="20"/>
              </w:rPr>
              <w:t>of a distribution.</w:t>
            </w:r>
          </w:p>
        </w:tc>
      </w:tr>
      <w:tr w:rsidR="000F38D2" w:rsidRPr="00906058" w14:paraId="0510C5E1" w14:textId="3BB5DD18" w:rsidTr="000F38D2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E27A" w14:textId="44AABFFC" w:rsidR="000F38D2" w:rsidRPr="00906058" w:rsidRDefault="000F38D2" w:rsidP="005276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058">
              <w:rPr>
                <w:rFonts w:ascii="Arial" w:hAnsi="Arial" w:cs="Arial"/>
                <w:color w:val="000000"/>
                <w:sz w:val="20"/>
                <w:szCs w:val="20"/>
              </w:rPr>
              <w:t>BOUND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Pr="00906058">
              <w:rPr>
                <w:rFonts w:ascii="Arial" w:hAnsi="Arial" w:cs="Arial"/>
                <w:color w:val="000000"/>
                <w:sz w:val="20"/>
                <w:szCs w:val="20"/>
              </w:rPr>
              <w:t>CI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4CDF" w14:textId="77777777" w:rsidR="000F38D2" w:rsidRPr="00906058" w:rsidRDefault="000F38D2" w:rsidP="005276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058">
              <w:rPr>
                <w:rFonts w:ascii="Arial" w:hAnsi="Arial" w:cs="Arial"/>
                <w:color w:val="000000"/>
                <w:sz w:val="20"/>
                <w:szCs w:val="20"/>
              </w:rPr>
              <w:t>Confidence interval lower bound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C044" w14:textId="1A8D5730" w:rsidR="000F38D2" w:rsidRPr="00906058" w:rsidRDefault="000F38D2" w:rsidP="005276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6815">
              <w:rPr>
                <w:rFonts w:ascii="Arial" w:hAnsi="Arial" w:cs="Arial"/>
                <w:sz w:val="20"/>
                <w:szCs w:val="20"/>
              </w:rPr>
              <w:t xml:space="preserve">Value representing the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906058">
              <w:rPr>
                <w:rFonts w:ascii="Arial" w:hAnsi="Arial" w:cs="Arial"/>
                <w:color w:val="000000"/>
                <w:sz w:val="20"/>
                <w:szCs w:val="20"/>
              </w:rPr>
              <w:t>onfidence interval lower bound</w:t>
            </w:r>
            <w:r w:rsidRPr="00876815">
              <w:rPr>
                <w:rFonts w:ascii="Arial" w:hAnsi="Arial" w:cs="Arial"/>
                <w:sz w:val="20"/>
                <w:szCs w:val="20"/>
              </w:rPr>
              <w:t xml:space="preserve"> of a distribution</w:t>
            </w:r>
          </w:p>
        </w:tc>
      </w:tr>
      <w:tr w:rsidR="000F38D2" w:rsidRPr="00906058" w14:paraId="078926F1" w14:textId="6F71DE34" w:rsidTr="000F38D2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40B6C" w14:textId="65940C39" w:rsidR="000F38D2" w:rsidRPr="00906058" w:rsidRDefault="000F38D2" w:rsidP="005276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058">
              <w:rPr>
                <w:rFonts w:ascii="Arial" w:hAnsi="Arial" w:cs="Arial"/>
                <w:color w:val="000000"/>
                <w:sz w:val="20"/>
                <w:szCs w:val="20"/>
              </w:rPr>
              <w:t>BOUND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Pr="00906058">
              <w:rPr>
                <w:rFonts w:ascii="Arial" w:hAnsi="Arial" w:cs="Arial"/>
                <w:color w:val="000000"/>
                <w:sz w:val="20"/>
                <w:szCs w:val="20"/>
              </w:rPr>
              <w:t>CI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72166" w14:textId="77777777" w:rsidR="000F38D2" w:rsidRPr="00906058" w:rsidRDefault="000F38D2" w:rsidP="005276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058">
              <w:rPr>
                <w:rFonts w:ascii="Arial" w:hAnsi="Arial" w:cs="Arial"/>
                <w:color w:val="000000"/>
                <w:sz w:val="20"/>
                <w:szCs w:val="20"/>
              </w:rPr>
              <w:t>Confidence interval upper bound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1EDF" w14:textId="42771A97" w:rsidR="000F38D2" w:rsidRPr="00906058" w:rsidRDefault="000F38D2" w:rsidP="005276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6815">
              <w:rPr>
                <w:rFonts w:ascii="Arial" w:hAnsi="Arial" w:cs="Arial"/>
                <w:sz w:val="20"/>
                <w:szCs w:val="20"/>
              </w:rPr>
              <w:t xml:space="preserve">Value representing the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906058">
              <w:rPr>
                <w:rFonts w:ascii="Arial" w:hAnsi="Arial" w:cs="Arial"/>
                <w:color w:val="000000"/>
                <w:sz w:val="20"/>
                <w:szCs w:val="20"/>
              </w:rPr>
              <w:t xml:space="preserve">onfidence interval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upper</w:t>
            </w:r>
            <w:r w:rsidRPr="00906058">
              <w:rPr>
                <w:rFonts w:ascii="Arial" w:hAnsi="Arial" w:cs="Arial"/>
                <w:color w:val="000000"/>
                <w:sz w:val="20"/>
                <w:szCs w:val="20"/>
              </w:rPr>
              <w:t xml:space="preserve"> bound</w:t>
            </w:r>
            <w:r w:rsidRPr="00876815">
              <w:rPr>
                <w:rFonts w:ascii="Arial" w:hAnsi="Arial" w:cs="Arial"/>
                <w:sz w:val="20"/>
                <w:szCs w:val="20"/>
              </w:rPr>
              <w:t xml:space="preserve"> of a distribution</w:t>
            </w:r>
          </w:p>
        </w:tc>
      </w:tr>
      <w:tr w:rsidR="000F38D2" w:rsidRPr="00906058" w14:paraId="588A3622" w14:textId="4383AE97" w:rsidTr="000F38D2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99B5" w14:textId="77777777" w:rsidR="000F38D2" w:rsidRPr="00906058" w:rsidRDefault="000F38D2" w:rsidP="005276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058">
              <w:rPr>
                <w:rFonts w:ascii="Arial" w:hAnsi="Arial" w:cs="Arial"/>
                <w:color w:val="000000"/>
                <w:sz w:val="20"/>
                <w:szCs w:val="20"/>
              </w:rPr>
              <w:t>MIN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8A66" w14:textId="77777777" w:rsidR="000F38D2" w:rsidRPr="00906058" w:rsidRDefault="000F38D2" w:rsidP="005276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058">
              <w:rPr>
                <w:rFonts w:ascii="Arial" w:hAnsi="Arial" w:cs="Arial"/>
                <w:color w:val="000000"/>
                <w:sz w:val="20"/>
                <w:szCs w:val="20"/>
              </w:rPr>
              <w:t>Minimum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DE2B" w14:textId="72C21423" w:rsidR="000F38D2" w:rsidRDefault="000F38D2" w:rsidP="005276EC">
            <w:pPr>
              <w:rPr>
                <w:rFonts w:ascii="Arial" w:hAnsi="Arial" w:cs="Arial"/>
                <w:sz w:val="20"/>
                <w:szCs w:val="20"/>
              </w:rPr>
            </w:pPr>
            <w:r w:rsidRPr="00876815">
              <w:rPr>
                <w:rFonts w:ascii="Arial" w:hAnsi="Arial" w:cs="Arial"/>
                <w:sz w:val="20"/>
                <w:szCs w:val="20"/>
              </w:rPr>
              <w:t xml:space="preserve">Value representing the </w:t>
            </w:r>
            <w:r>
              <w:rPr>
                <w:rFonts w:ascii="Arial" w:hAnsi="Arial" w:cs="Arial"/>
                <w:sz w:val="20"/>
                <w:szCs w:val="20"/>
              </w:rPr>
              <w:t>minimum</w:t>
            </w:r>
            <w:r w:rsidRPr="00876815">
              <w:rPr>
                <w:rFonts w:ascii="Arial" w:hAnsi="Arial" w:cs="Arial"/>
                <w:sz w:val="20"/>
                <w:szCs w:val="20"/>
              </w:rPr>
              <w:t xml:space="preserve"> of a distribution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F6B42B2" w14:textId="7BA5D333" w:rsidR="000F38D2" w:rsidRPr="00906058" w:rsidRDefault="000F38D2" w:rsidP="005276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F38D2" w:rsidRPr="00906058" w14:paraId="11B8C422" w14:textId="3DB2E459" w:rsidTr="000F38D2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B9057" w14:textId="77777777" w:rsidR="000F38D2" w:rsidRPr="00906058" w:rsidRDefault="000F38D2" w:rsidP="005276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058">
              <w:rPr>
                <w:rFonts w:ascii="Arial" w:hAnsi="Arial" w:cs="Arial"/>
                <w:color w:val="000000"/>
                <w:sz w:val="20"/>
                <w:szCs w:val="20"/>
              </w:rPr>
              <w:t>MAX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D3936" w14:textId="77777777" w:rsidR="000F38D2" w:rsidRPr="00906058" w:rsidRDefault="000F38D2" w:rsidP="005276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058">
              <w:rPr>
                <w:rFonts w:ascii="Arial" w:hAnsi="Arial" w:cs="Arial"/>
                <w:color w:val="000000"/>
                <w:sz w:val="20"/>
                <w:szCs w:val="20"/>
              </w:rPr>
              <w:t>Maximum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D20B" w14:textId="6FB63C9A" w:rsidR="000F38D2" w:rsidRPr="00906058" w:rsidRDefault="000F38D2" w:rsidP="005276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6815">
              <w:rPr>
                <w:rFonts w:ascii="Arial" w:hAnsi="Arial" w:cs="Arial"/>
                <w:sz w:val="20"/>
                <w:szCs w:val="20"/>
              </w:rPr>
              <w:t xml:space="preserve">Value representing the </w:t>
            </w:r>
            <w:r>
              <w:rPr>
                <w:rFonts w:ascii="Arial" w:hAnsi="Arial" w:cs="Arial"/>
                <w:sz w:val="20"/>
                <w:szCs w:val="20"/>
              </w:rPr>
              <w:t>maximum</w:t>
            </w:r>
            <w:r w:rsidRPr="00876815">
              <w:rPr>
                <w:rFonts w:ascii="Arial" w:hAnsi="Arial" w:cs="Arial"/>
                <w:sz w:val="20"/>
                <w:szCs w:val="20"/>
              </w:rPr>
              <w:t xml:space="preserve"> of a distribution</w:t>
            </w:r>
          </w:p>
        </w:tc>
      </w:tr>
      <w:tr w:rsidR="000F38D2" w:rsidRPr="00906058" w14:paraId="58C37722" w14:textId="0FEE2A16" w:rsidTr="000F38D2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B2DBA" w14:textId="1A20AAFC" w:rsidR="000F38D2" w:rsidRPr="00906058" w:rsidRDefault="000F38D2" w:rsidP="005276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60F44" w14:textId="7C783CF3" w:rsidR="000F38D2" w:rsidRPr="00906058" w:rsidRDefault="000F38D2" w:rsidP="005276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5D3F" w14:textId="0FBF2508" w:rsidR="000F38D2" w:rsidRPr="00906058" w:rsidRDefault="000F38D2" w:rsidP="005276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Value as a result of a scoring function</w:t>
            </w:r>
          </w:p>
        </w:tc>
      </w:tr>
      <w:tr w:rsidR="000F38D2" w:rsidRPr="00906058" w14:paraId="5AD61DFB" w14:textId="442D0CB2" w:rsidTr="000F38D2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57785" w14:textId="0E88E77C" w:rsidR="000F38D2" w:rsidRDefault="000F38D2" w:rsidP="005276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6F84B" w14:textId="11105D38" w:rsidR="000F38D2" w:rsidRDefault="000F38D2" w:rsidP="005276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Standard error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19F5" w14:textId="2998CD1B" w:rsidR="000F38D2" w:rsidRDefault="000F38D2" w:rsidP="005276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3B50">
              <w:rPr>
                <w:rFonts w:ascii="Arial" w:hAnsi="Arial" w:cs="Arial"/>
                <w:color w:val="000000"/>
                <w:sz w:val="20"/>
                <w:szCs w:val="20"/>
              </w:rPr>
              <w:t>Value representing the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33B50">
              <w:rPr>
                <w:rFonts w:ascii="Arial" w:hAnsi="Arial" w:cs="Arial"/>
                <w:color w:val="000000"/>
                <w:sz w:val="20"/>
                <w:szCs w:val="20"/>
              </w:rPr>
              <w:t>standard error of the mean of a distribution</w:t>
            </w:r>
          </w:p>
        </w:tc>
      </w:tr>
      <w:tr w:rsidR="000F38D2" w:rsidRPr="00906058" w14:paraId="25E28B6D" w14:textId="77777777" w:rsidTr="000F38D2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1F534" w14:textId="4FF9420E" w:rsidR="000F38D2" w:rsidRDefault="000F38D2" w:rsidP="005276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RANK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89818" w14:textId="4031A524" w:rsidR="000F38D2" w:rsidRDefault="000F38D2" w:rsidP="005276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Rank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A024" w14:textId="369F2ED1" w:rsidR="000F38D2" w:rsidRPr="00E33B50" w:rsidRDefault="000F38D2" w:rsidP="00684D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3B50">
              <w:rPr>
                <w:rFonts w:ascii="Arial" w:hAnsi="Arial" w:cs="Arial"/>
                <w:color w:val="000000"/>
                <w:sz w:val="20"/>
                <w:szCs w:val="20"/>
              </w:rPr>
              <w:t xml:space="preserve">Value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as a result of a ranking function</w:t>
            </w:r>
          </w:p>
        </w:tc>
      </w:tr>
      <w:tr w:rsidR="000F38D2" w:rsidRPr="00906058" w14:paraId="27955E39" w14:textId="45155D7C" w:rsidTr="000F38D2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8F509" w14:textId="77777777" w:rsidR="000F38D2" w:rsidRPr="00906058" w:rsidRDefault="000F38D2" w:rsidP="005276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058">
              <w:rPr>
                <w:rFonts w:ascii="Arial" w:hAnsi="Arial" w:cs="Arial"/>
                <w:color w:val="000000"/>
                <w:sz w:val="20"/>
                <w:szCs w:val="20"/>
              </w:rPr>
              <w:t>_Z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D4C50" w14:textId="77777777" w:rsidR="000F38D2" w:rsidRPr="00906058" w:rsidRDefault="000F38D2" w:rsidP="005276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058">
              <w:rPr>
                <w:rFonts w:ascii="Arial" w:hAnsi="Arial" w:cs="Arial"/>
                <w:color w:val="000000"/>
                <w:sz w:val="20"/>
                <w:szCs w:val="20"/>
              </w:rPr>
              <w:t>Not applicable​​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8406" w14:textId="77777777" w:rsidR="000F38D2" w:rsidRPr="00906058" w:rsidRDefault="000F38D2" w:rsidP="005276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866C137" w14:textId="18108407" w:rsidR="003124C1" w:rsidRPr="00727B98" w:rsidRDefault="00C11ABC" w:rsidP="00727B98">
      <w:pPr>
        <w:pStyle w:val="Heading2"/>
        <w:rPr>
          <w:rStyle w:val="Strong"/>
          <w:rFonts w:asciiTheme="majorHAnsi" w:eastAsiaTheme="majorEastAsia" w:hAnsiTheme="majorHAnsi" w:cstheme="majorBidi"/>
          <w:i w:val="0"/>
          <w:iCs w:val="0"/>
          <w:color w:val="365F91" w:themeColor="accent1" w:themeShade="BF"/>
          <w:sz w:val="28"/>
          <w:lang w:eastAsia="en-GB"/>
        </w:rPr>
      </w:pPr>
      <w:r w:rsidRPr="00727B98">
        <w:rPr>
          <w:rStyle w:val="Strong"/>
          <w:rFonts w:asciiTheme="majorHAnsi" w:eastAsiaTheme="majorEastAsia" w:hAnsiTheme="majorHAnsi" w:cstheme="majorBidi"/>
          <w:i w:val="0"/>
          <w:iCs w:val="0"/>
          <w:color w:val="365F91" w:themeColor="accent1" w:themeShade="BF"/>
          <w:sz w:val="28"/>
          <w:lang w:eastAsia="en-GB"/>
        </w:rPr>
        <w:t>Remark</w:t>
      </w:r>
      <w:r w:rsidR="005567EB" w:rsidRPr="00727B98">
        <w:rPr>
          <w:rStyle w:val="Strong"/>
          <w:rFonts w:asciiTheme="majorHAnsi" w:eastAsiaTheme="majorEastAsia" w:hAnsiTheme="majorHAnsi" w:cstheme="majorBidi"/>
          <w:i w:val="0"/>
          <w:iCs w:val="0"/>
          <w:color w:val="365F91" w:themeColor="accent1" w:themeShade="BF"/>
          <w:sz w:val="28"/>
          <w:lang w:eastAsia="en-GB"/>
        </w:rPr>
        <w:t>s</w:t>
      </w:r>
    </w:p>
    <w:p w14:paraId="4CA5B751" w14:textId="2F9CAE52" w:rsidR="00FB4FAC" w:rsidRPr="00FB4FAC" w:rsidRDefault="00187BEC" w:rsidP="00727B98">
      <w:pPr>
        <w:pStyle w:val="Heading2"/>
      </w:pPr>
      <w:r>
        <w:t xml:space="preserve">Correspondence to </w:t>
      </w:r>
      <w:r w:rsidR="00FB4FAC">
        <w:t xml:space="preserve">VTL </w:t>
      </w:r>
      <w:r>
        <w:t xml:space="preserve">pre-defined </w:t>
      </w:r>
      <w:r w:rsidR="00F438CF">
        <w:t>operator</w:t>
      </w:r>
      <w:r>
        <w:t>s</w:t>
      </w:r>
    </w:p>
    <w:p w14:paraId="3FEE27A7" w14:textId="6D12884E" w:rsidR="0014355B" w:rsidRPr="00DE778D" w:rsidRDefault="0014355B" w:rsidP="00072C4E">
      <w:pPr>
        <w:keepNext/>
        <w:spacing w:before="120" w:after="240"/>
        <w:rPr>
          <w:rFonts w:ascii="Arial" w:hAnsi="Arial" w:cs="Arial"/>
          <w:sz w:val="22"/>
        </w:rPr>
      </w:pPr>
      <w:r w:rsidRPr="00DE778D">
        <w:rPr>
          <w:rFonts w:ascii="Arial" w:hAnsi="Arial" w:cs="Arial"/>
          <w:sz w:val="22"/>
        </w:rPr>
        <w:t xml:space="preserve">VTL has </w:t>
      </w:r>
      <w:r w:rsidR="00143863">
        <w:rPr>
          <w:rFonts w:ascii="Arial" w:hAnsi="Arial" w:cs="Arial"/>
          <w:sz w:val="22"/>
        </w:rPr>
        <w:t xml:space="preserve">corresponding </w:t>
      </w:r>
      <w:r w:rsidRPr="00DE778D">
        <w:rPr>
          <w:rFonts w:ascii="Arial" w:hAnsi="Arial" w:cs="Arial"/>
          <w:sz w:val="22"/>
        </w:rPr>
        <w:t xml:space="preserve">pre-defined </w:t>
      </w:r>
      <w:r w:rsidR="00802E2A" w:rsidRPr="00DE778D">
        <w:rPr>
          <w:rFonts w:ascii="Arial" w:hAnsi="Arial" w:cs="Arial"/>
          <w:sz w:val="22"/>
        </w:rPr>
        <w:t xml:space="preserve">operators for </w:t>
      </w:r>
      <w:r w:rsidR="00143863">
        <w:rPr>
          <w:rFonts w:ascii="Arial" w:hAnsi="Arial" w:cs="Arial"/>
          <w:sz w:val="22"/>
        </w:rPr>
        <w:t xml:space="preserve">some </w:t>
      </w:r>
      <w:r w:rsidR="00802E2A" w:rsidRPr="00DE778D">
        <w:rPr>
          <w:rFonts w:ascii="Arial" w:hAnsi="Arial" w:cs="Arial"/>
          <w:sz w:val="22"/>
        </w:rPr>
        <w:t>operations in this codelist</w:t>
      </w:r>
      <w:r w:rsidR="000763E0" w:rsidRPr="00DE778D">
        <w:rPr>
          <w:rFonts w:ascii="Arial" w:hAnsi="Arial" w:cs="Arial"/>
          <w:sz w:val="22"/>
        </w:rPr>
        <w:t xml:space="preserve">. </w:t>
      </w:r>
      <w:r w:rsidR="008A21D8" w:rsidRPr="00DE778D">
        <w:rPr>
          <w:rFonts w:ascii="Arial" w:hAnsi="Arial" w:cs="Arial"/>
          <w:sz w:val="22"/>
        </w:rPr>
        <w:t>For example</w:t>
      </w:r>
      <w:r w:rsidR="00D1262A">
        <w:rPr>
          <w:rFonts w:ascii="Arial" w:hAnsi="Arial" w:cs="Arial"/>
          <w:sz w:val="22"/>
        </w:rPr>
        <w:t>:</w:t>
      </w:r>
    </w:p>
    <w:tbl>
      <w:tblPr>
        <w:tblW w:w="249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6"/>
        <w:gridCol w:w="1759"/>
        <w:gridCol w:w="1332"/>
      </w:tblGrid>
      <w:tr w:rsidR="009469DF" w:rsidRPr="00BF6625" w14:paraId="02044C4D" w14:textId="77777777" w:rsidTr="006E6AC0">
        <w:trPr>
          <w:trHeight w:val="575"/>
        </w:trPr>
        <w:tc>
          <w:tcPr>
            <w:tcW w:w="352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F2486" w14:textId="361F4E8E" w:rsidR="009469DF" w:rsidRPr="00906058" w:rsidRDefault="009469DF" w:rsidP="0084073B">
            <w:pPr>
              <w:keepNext/>
              <w:spacing w:before="60" w:after="60" w:line="25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CL_STATISTICAL_OPERATION</w:t>
            </w:r>
          </w:p>
        </w:tc>
        <w:tc>
          <w:tcPr>
            <w:tcW w:w="1471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bottom"/>
          </w:tcPr>
          <w:p w14:paraId="5D78E55F" w14:textId="15F93C37" w:rsidR="009469DF" w:rsidRPr="00BF6625" w:rsidRDefault="009469DF" w:rsidP="0084073B">
            <w:pPr>
              <w:keepNext/>
              <w:spacing w:before="180" w:after="120" w:line="25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6E6AC0">
              <w:rPr>
                <w:rFonts w:ascii="Arial" w:hAnsi="Arial" w:cs="Arial"/>
                <w:b/>
                <w:bCs/>
                <w:sz w:val="20"/>
                <w:szCs w:val="20"/>
              </w:rPr>
              <w:t>VTL 2.0</w:t>
            </w:r>
            <w:r w:rsidRPr="006E6AC0">
              <w:rPr>
                <w:rStyle w:val="FootnoteReference"/>
                <w:rFonts w:ascii="Arial" w:hAnsi="Arial" w:cs="Arial"/>
                <w:b/>
                <w:bCs/>
                <w:sz w:val="20"/>
                <w:szCs w:val="20"/>
              </w:rPr>
              <w:footnoteReference w:id="1"/>
            </w:r>
            <w:r w:rsidRPr="006E6A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operator</w:t>
            </w:r>
          </w:p>
        </w:tc>
      </w:tr>
      <w:tr w:rsidR="009469DF" w:rsidRPr="00BF6625" w14:paraId="6B9B6178" w14:textId="77777777" w:rsidTr="006E6AC0">
        <w:trPr>
          <w:trHeight w:val="575"/>
        </w:trPr>
        <w:tc>
          <w:tcPr>
            <w:tcW w:w="15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8C2B8" w14:textId="77777777" w:rsidR="009469DF" w:rsidRPr="00906058" w:rsidRDefault="009469DF" w:rsidP="0084073B">
            <w:pPr>
              <w:keepNext/>
              <w:spacing w:before="60" w:after="60" w:line="25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6058">
              <w:rPr>
                <w:rFonts w:ascii="Arial" w:hAnsi="Arial" w:cs="Arial"/>
                <w:b/>
                <w:bCs/>
                <w:sz w:val="20"/>
                <w:szCs w:val="20"/>
              </w:rPr>
              <w:t>Code Id</w:t>
            </w:r>
          </w:p>
        </w:tc>
        <w:tc>
          <w:tcPr>
            <w:tcW w:w="19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2D500" w14:textId="77777777" w:rsidR="009469DF" w:rsidRPr="00906058" w:rsidRDefault="009469DF" w:rsidP="0084073B">
            <w:pPr>
              <w:keepNext/>
              <w:spacing w:before="60" w:after="60" w:line="25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6058">
              <w:rPr>
                <w:rFonts w:ascii="Arial" w:hAnsi="Arial" w:cs="Arial"/>
                <w:b/>
                <w:bCs/>
                <w:sz w:val="20"/>
                <w:szCs w:val="20"/>
              </w:rPr>
              <w:t>Code Name</w:t>
            </w:r>
          </w:p>
        </w:tc>
        <w:tc>
          <w:tcPr>
            <w:tcW w:w="1471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14:paraId="3394B974" w14:textId="51922F2A" w:rsidR="009469DF" w:rsidRPr="00BF6625" w:rsidRDefault="009469DF" w:rsidP="0084073B">
            <w:pPr>
              <w:keepNext/>
              <w:spacing w:before="180" w:after="120" w:line="25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547113" w:rsidRPr="00BF6625" w14:paraId="217217F3" w14:textId="77777777" w:rsidTr="006E6AC0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719A0" w14:textId="77777777" w:rsidR="00547113" w:rsidRPr="00906058" w:rsidRDefault="00547113" w:rsidP="0084073B">
            <w:pPr>
              <w:keepNext/>
              <w:spacing w:before="60" w:after="60" w:line="252" w:lineRule="auto"/>
              <w:rPr>
                <w:rFonts w:ascii="Arial" w:hAnsi="Arial" w:cs="Arial"/>
                <w:sz w:val="20"/>
                <w:szCs w:val="20"/>
              </w:rPr>
            </w:pPr>
            <w:r w:rsidRPr="00906058">
              <w:rPr>
                <w:rFonts w:ascii="Arial" w:hAnsi="Arial" w:cs="Arial"/>
                <w:sz w:val="20"/>
                <w:szCs w:val="20"/>
              </w:rPr>
              <w:t>MEAN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EF1A8" w14:textId="77777777" w:rsidR="00547113" w:rsidRPr="00906058" w:rsidRDefault="00547113" w:rsidP="0084073B">
            <w:pPr>
              <w:keepNext/>
              <w:spacing w:before="60" w:after="60" w:line="252" w:lineRule="auto"/>
              <w:rPr>
                <w:rFonts w:ascii="Arial" w:hAnsi="Arial" w:cs="Arial"/>
                <w:sz w:val="20"/>
                <w:szCs w:val="20"/>
              </w:rPr>
            </w:pPr>
            <w:r w:rsidRPr="00906058">
              <w:rPr>
                <w:rFonts w:ascii="Arial" w:hAnsi="Arial" w:cs="Arial"/>
                <w:sz w:val="20"/>
                <w:szCs w:val="20"/>
              </w:rPr>
              <w:t>Arithmetic mean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8CD20" w14:textId="77777777" w:rsidR="00547113" w:rsidRPr="00260F8B" w:rsidRDefault="00547113" w:rsidP="0084073B">
            <w:pPr>
              <w:keepNext/>
              <w:spacing w:before="60" w:after="60" w:line="252" w:lineRule="auto"/>
              <w:rPr>
                <w:rFonts w:ascii="Arial" w:hAnsi="Arial" w:cs="Arial"/>
                <w:sz w:val="20"/>
                <w:szCs w:val="20"/>
              </w:rPr>
            </w:pPr>
            <w:r w:rsidRPr="00260F8B">
              <w:rPr>
                <w:rFonts w:ascii="Arial" w:hAnsi="Arial" w:cs="Arial"/>
                <w:sz w:val="20"/>
                <w:szCs w:val="20"/>
              </w:rPr>
              <w:t>avg</w:t>
            </w:r>
          </w:p>
        </w:tc>
      </w:tr>
      <w:tr w:rsidR="00547113" w:rsidRPr="00BF6625" w14:paraId="1F2264A5" w14:textId="77777777" w:rsidTr="006E6AC0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103A8" w14:textId="77777777" w:rsidR="00547113" w:rsidRPr="00906058" w:rsidRDefault="00547113" w:rsidP="0084073B">
            <w:pPr>
              <w:keepNext/>
              <w:spacing w:before="60" w:after="60" w:line="252" w:lineRule="auto"/>
              <w:rPr>
                <w:rFonts w:ascii="Arial" w:hAnsi="Arial" w:cs="Arial"/>
                <w:sz w:val="20"/>
                <w:szCs w:val="20"/>
              </w:rPr>
            </w:pPr>
            <w:r w:rsidRPr="00906058">
              <w:rPr>
                <w:rFonts w:ascii="Arial" w:hAnsi="Arial" w:cs="Arial"/>
                <w:sz w:val="20"/>
                <w:szCs w:val="20"/>
              </w:rPr>
              <w:t>MEDIAN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5F2EF" w14:textId="77777777" w:rsidR="00547113" w:rsidRPr="00906058" w:rsidRDefault="00547113" w:rsidP="0084073B">
            <w:pPr>
              <w:keepNext/>
              <w:spacing w:before="60" w:after="60" w:line="252" w:lineRule="auto"/>
              <w:rPr>
                <w:rFonts w:ascii="Arial" w:hAnsi="Arial" w:cs="Arial"/>
                <w:sz w:val="20"/>
                <w:szCs w:val="20"/>
              </w:rPr>
            </w:pPr>
            <w:r w:rsidRPr="00906058">
              <w:rPr>
                <w:rFonts w:ascii="Arial" w:hAnsi="Arial" w:cs="Arial"/>
                <w:sz w:val="20"/>
                <w:szCs w:val="20"/>
              </w:rPr>
              <w:t>Median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A0B0" w14:textId="77777777" w:rsidR="00547113" w:rsidRPr="00260F8B" w:rsidRDefault="00547113" w:rsidP="0084073B">
            <w:pPr>
              <w:keepNext/>
              <w:spacing w:before="60" w:after="60" w:line="252" w:lineRule="auto"/>
              <w:rPr>
                <w:rFonts w:ascii="Arial" w:hAnsi="Arial" w:cs="Arial"/>
                <w:sz w:val="20"/>
                <w:szCs w:val="20"/>
              </w:rPr>
            </w:pPr>
            <w:r w:rsidRPr="00260F8B">
              <w:rPr>
                <w:rFonts w:ascii="Arial" w:hAnsi="Arial" w:cs="Arial"/>
                <w:sz w:val="20"/>
                <w:szCs w:val="20"/>
              </w:rPr>
              <w:t>median</w:t>
            </w:r>
          </w:p>
        </w:tc>
      </w:tr>
      <w:tr w:rsidR="00547113" w:rsidRPr="00BF6625" w14:paraId="7FCD2E65" w14:textId="77777777" w:rsidTr="006E6AC0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C9CD5" w14:textId="77777777" w:rsidR="00547113" w:rsidRPr="00906058" w:rsidRDefault="00547113" w:rsidP="0084073B">
            <w:pPr>
              <w:keepNext/>
              <w:spacing w:before="60" w:after="60" w:line="252" w:lineRule="auto"/>
              <w:rPr>
                <w:rFonts w:ascii="Arial" w:hAnsi="Arial" w:cs="Arial"/>
                <w:sz w:val="20"/>
                <w:szCs w:val="20"/>
              </w:rPr>
            </w:pPr>
            <w:r w:rsidRPr="00906058">
              <w:rPr>
                <w:rFonts w:ascii="Arial" w:hAnsi="Arial" w:cs="Arial"/>
                <w:sz w:val="20"/>
                <w:szCs w:val="20"/>
              </w:rPr>
              <w:t>COUNT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99FAD" w14:textId="77777777" w:rsidR="00547113" w:rsidRPr="00906058" w:rsidRDefault="00547113" w:rsidP="0084073B">
            <w:pPr>
              <w:keepNext/>
              <w:spacing w:before="60" w:after="60" w:line="252" w:lineRule="auto"/>
              <w:rPr>
                <w:rFonts w:ascii="Arial" w:hAnsi="Arial" w:cs="Arial"/>
                <w:sz w:val="20"/>
                <w:szCs w:val="20"/>
              </w:rPr>
            </w:pPr>
            <w:r w:rsidRPr="00906058">
              <w:rPr>
                <w:rFonts w:ascii="Arial" w:hAnsi="Arial" w:cs="Arial"/>
                <w:sz w:val="20"/>
                <w:szCs w:val="20"/>
              </w:rPr>
              <w:t>Count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0D94D" w14:textId="77777777" w:rsidR="00547113" w:rsidRPr="00260F8B" w:rsidRDefault="00547113" w:rsidP="0084073B">
            <w:pPr>
              <w:keepNext/>
              <w:spacing w:before="60" w:after="60" w:line="252" w:lineRule="auto"/>
              <w:rPr>
                <w:rFonts w:ascii="Arial" w:hAnsi="Arial" w:cs="Arial"/>
                <w:sz w:val="20"/>
                <w:szCs w:val="20"/>
              </w:rPr>
            </w:pPr>
            <w:r w:rsidRPr="00260F8B">
              <w:rPr>
                <w:rFonts w:ascii="Arial" w:hAnsi="Arial" w:cs="Arial"/>
                <w:sz w:val="20"/>
                <w:szCs w:val="20"/>
              </w:rPr>
              <w:t>count</w:t>
            </w:r>
          </w:p>
        </w:tc>
      </w:tr>
      <w:tr w:rsidR="00547113" w:rsidRPr="00BF6625" w14:paraId="22C90AD6" w14:textId="77777777" w:rsidTr="006E6AC0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F019" w14:textId="77777777" w:rsidR="00547113" w:rsidRPr="005D44C6" w:rsidRDefault="00547113" w:rsidP="0084073B">
            <w:pPr>
              <w:keepNext/>
              <w:spacing w:before="60" w:after="60" w:line="252" w:lineRule="auto"/>
              <w:rPr>
                <w:rFonts w:ascii="Arial" w:hAnsi="Arial" w:cs="Arial"/>
                <w:sz w:val="20"/>
                <w:szCs w:val="20"/>
              </w:rPr>
            </w:pPr>
            <w:r w:rsidRPr="005D44C6">
              <w:rPr>
                <w:rFonts w:ascii="Arial" w:hAnsi="Arial" w:cs="Arial"/>
                <w:sz w:val="20"/>
                <w:szCs w:val="20"/>
              </w:rPr>
              <w:t xml:space="preserve">SUM 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1CADE" w14:textId="77777777" w:rsidR="00547113" w:rsidRPr="005D44C6" w:rsidRDefault="00547113" w:rsidP="0084073B">
            <w:pPr>
              <w:keepNext/>
              <w:spacing w:before="60" w:after="60" w:line="252" w:lineRule="auto"/>
              <w:rPr>
                <w:rFonts w:ascii="Arial" w:hAnsi="Arial" w:cs="Arial"/>
                <w:sz w:val="20"/>
                <w:szCs w:val="20"/>
              </w:rPr>
            </w:pPr>
            <w:r w:rsidRPr="005D44C6">
              <w:rPr>
                <w:rFonts w:ascii="Arial" w:hAnsi="Arial" w:cs="Arial"/>
                <w:sz w:val="20"/>
                <w:szCs w:val="20"/>
              </w:rPr>
              <w:t>Raw sum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AD8F" w14:textId="77777777" w:rsidR="00547113" w:rsidRPr="00260F8B" w:rsidRDefault="00547113" w:rsidP="0084073B">
            <w:pPr>
              <w:keepNext/>
              <w:spacing w:before="60" w:after="60" w:line="252" w:lineRule="auto"/>
              <w:rPr>
                <w:rFonts w:ascii="Arial" w:hAnsi="Arial" w:cs="Arial"/>
                <w:sz w:val="20"/>
                <w:szCs w:val="20"/>
              </w:rPr>
            </w:pPr>
            <w:r w:rsidRPr="00260F8B">
              <w:rPr>
                <w:rFonts w:ascii="Arial" w:hAnsi="Arial" w:cs="Arial"/>
                <w:sz w:val="20"/>
                <w:szCs w:val="20"/>
              </w:rPr>
              <w:t>sum</w:t>
            </w:r>
          </w:p>
        </w:tc>
      </w:tr>
      <w:tr w:rsidR="00547113" w:rsidRPr="00BF6625" w14:paraId="7E35E2E9" w14:textId="77777777" w:rsidTr="006E6AC0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0C041" w14:textId="77777777" w:rsidR="00547113" w:rsidRPr="005D44C6" w:rsidRDefault="00547113" w:rsidP="0084073B">
            <w:pPr>
              <w:keepNext/>
              <w:spacing w:before="60" w:after="60" w:line="252" w:lineRule="auto"/>
              <w:rPr>
                <w:rFonts w:ascii="Arial" w:hAnsi="Arial" w:cs="Arial"/>
                <w:sz w:val="20"/>
                <w:szCs w:val="20"/>
              </w:rPr>
            </w:pPr>
            <w:r w:rsidRPr="005D44C6">
              <w:rPr>
                <w:rFonts w:ascii="Arial" w:hAnsi="Arial" w:cs="Arial"/>
                <w:sz w:val="20"/>
                <w:szCs w:val="20"/>
              </w:rPr>
              <w:t>MIN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C4300" w14:textId="77777777" w:rsidR="00547113" w:rsidRPr="005D44C6" w:rsidRDefault="00547113" w:rsidP="0084073B">
            <w:pPr>
              <w:keepNext/>
              <w:spacing w:before="60" w:after="60" w:line="252" w:lineRule="auto"/>
              <w:rPr>
                <w:rFonts w:ascii="Arial" w:hAnsi="Arial" w:cs="Arial"/>
                <w:sz w:val="20"/>
                <w:szCs w:val="20"/>
              </w:rPr>
            </w:pPr>
            <w:r w:rsidRPr="005D44C6">
              <w:rPr>
                <w:rFonts w:ascii="Arial" w:hAnsi="Arial" w:cs="Arial"/>
                <w:sz w:val="20"/>
                <w:szCs w:val="20"/>
              </w:rPr>
              <w:t>Minimum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905F2" w14:textId="77777777" w:rsidR="00547113" w:rsidRPr="00260F8B" w:rsidRDefault="00547113" w:rsidP="0084073B">
            <w:pPr>
              <w:keepNext/>
              <w:spacing w:before="60" w:after="60" w:line="252" w:lineRule="auto"/>
              <w:rPr>
                <w:rFonts w:ascii="Arial" w:hAnsi="Arial" w:cs="Arial"/>
                <w:sz w:val="20"/>
                <w:szCs w:val="20"/>
              </w:rPr>
            </w:pPr>
            <w:r w:rsidRPr="00260F8B">
              <w:rPr>
                <w:rFonts w:ascii="Arial" w:hAnsi="Arial" w:cs="Arial"/>
                <w:sz w:val="20"/>
                <w:szCs w:val="20"/>
              </w:rPr>
              <w:t>min</w:t>
            </w:r>
          </w:p>
        </w:tc>
      </w:tr>
      <w:tr w:rsidR="00547113" w:rsidRPr="00BF6625" w14:paraId="57F6D85A" w14:textId="77777777" w:rsidTr="006E6AC0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F0837" w14:textId="77777777" w:rsidR="00547113" w:rsidRPr="005D44C6" w:rsidRDefault="00547113" w:rsidP="0084073B">
            <w:pPr>
              <w:keepNext/>
              <w:spacing w:before="60" w:after="60" w:line="252" w:lineRule="auto"/>
              <w:rPr>
                <w:rFonts w:ascii="Arial" w:hAnsi="Arial" w:cs="Arial"/>
                <w:sz w:val="20"/>
                <w:szCs w:val="20"/>
              </w:rPr>
            </w:pPr>
            <w:r w:rsidRPr="005D44C6">
              <w:rPr>
                <w:rFonts w:ascii="Arial" w:hAnsi="Arial" w:cs="Arial"/>
                <w:sz w:val="20"/>
                <w:szCs w:val="20"/>
              </w:rPr>
              <w:t>MAX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B24B0" w14:textId="77777777" w:rsidR="00547113" w:rsidRPr="005D44C6" w:rsidRDefault="00547113" w:rsidP="0084073B">
            <w:pPr>
              <w:keepNext/>
              <w:spacing w:before="60" w:after="60" w:line="252" w:lineRule="auto"/>
              <w:rPr>
                <w:rFonts w:ascii="Arial" w:hAnsi="Arial" w:cs="Arial"/>
                <w:sz w:val="20"/>
                <w:szCs w:val="20"/>
              </w:rPr>
            </w:pPr>
            <w:r w:rsidRPr="005D44C6">
              <w:rPr>
                <w:rFonts w:ascii="Arial" w:hAnsi="Arial" w:cs="Arial"/>
                <w:sz w:val="20"/>
                <w:szCs w:val="20"/>
              </w:rPr>
              <w:t>Maximum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9D4D6" w14:textId="77777777" w:rsidR="00547113" w:rsidRPr="00260F8B" w:rsidRDefault="00547113" w:rsidP="0084073B">
            <w:pPr>
              <w:keepNext/>
              <w:spacing w:before="60" w:after="60" w:line="252" w:lineRule="auto"/>
              <w:rPr>
                <w:rFonts w:ascii="Arial" w:hAnsi="Arial" w:cs="Arial"/>
                <w:sz w:val="20"/>
                <w:szCs w:val="20"/>
              </w:rPr>
            </w:pPr>
            <w:r w:rsidRPr="00260F8B">
              <w:rPr>
                <w:rFonts w:ascii="Arial" w:hAnsi="Arial" w:cs="Arial"/>
                <w:sz w:val="20"/>
                <w:szCs w:val="20"/>
              </w:rPr>
              <w:t>max</w:t>
            </w:r>
          </w:p>
        </w:tc>
      </w:tr>
      <w:tr w:rsidR="00547113" w:rsidRPr="00BF6625" w14:paraId="33663093" w14:textId="77777777" w:rsidTr="006E6AC0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A77C" w14:textId="77777777" w:rsidR="00547113" w:rsidRPr="005D44C6" w:rsidRDefault="00547113" w:rsidP="0084073B">
            <w:pPr>
              <w:keepNext/>
              <w:spacing w:before="60" w:after="60" w:line="252" w:lineRule="auto"/>
              <w:rPr>
                <w:rFonts w:ascii="Arial" w:hAnsi="Arial" w:cs="Arial"/>
                <w:sz w:val="20"/>
                <w:szCs w:val="20"/>
              </w:rPr>
            </w:pPr>
            <w:r w:rsidRPr="005D44C6">
              <w:rPr>
                <w:rFonts w:ascii="Arial" w:hAnsi="Arial" w:cs="Arial"/>
                <w:sz w:val="20"/>
                <w:szCs w:val="20"/>
              </w:rPr>
              <w:t>RANK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1183C" w14:textId="77777777" w:rsidR="00547113" w:rsidRPr="005D44C6" w:rsidRDefault="00547113" w:rsidP="0084073B">
            <w:pPr>
              <w:keepNext/>
              <w:spacing w:before="60" w:after="60" w:line="252" w:lineRule="auto"/>
              <w:rPr>
                <w:rFonts w:ascii="Arial" w:hAnsi="Arial" w:cs="Arial"/>
                <w:sz w:val="20"/>
                <w:szCs w:val="20"/>
              </w:rPr>
            </w:pPr>
            <w:r w:rsidRPr="005D44C6">
              <w:rPr>
                <w:rFonts w:ascii="Arial" w:hAnsi="Arial" w:cs="Arial"/>
                <w:sz w:val="20"/>
                <w:szCs w:val="20"/>
              </w:rPr>
              <w:t>Rank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E5D83" w14:textId="77777777" w:rsidR="00547113" w:rsidRPr="00260F8B" w:rsidRDefault="00547113" w:rsidP="0084073B">
            <w:pPr>
              <w:keepNext/>
              <w:spacing w:before="60" w:after="60" w:line="252" w:lineRule="auto"/>
              <w:rPr>
                <w:rFonts w:ascii="Arial" w:hAnsi="Arial" w:cs="Arial"/>
                <w:sz w:val="20"/>
                <w:szCs w:val="20"/>
              </w:rPr>
            </w:pPr>
            <w:r w:rsidRPr="00260F8B">
              <w:rPr>
                <w:rFonts w:ascii="Arial" w:hAnsi="Arial" w:cs="Arial"/>
                <w:sz w:val="20"/>
                <w:szCs w:val="20"/>
              </w:rPr>
              <w:t>rank</w:t>
            </w:r>
          </w:p>
        </w:tc>
      </w:tr>
    </w:tbl>
    <w:p w14:paraId="05060FC5" w14:textId="77777777" w:rsidR="00727B98" w:rsidRDefault="001F248F" w:rsidP="00727B98">
      <w:pPr>
        <w:spacing w:before="120" w:after="240"/>
        <w:jc w:val="both"/>
        <w:rPr>
          <w:rFonts w:ascii="Arial" w:hAnsi="Arial" w:cs="Arial"/>
          <w:sz w:val="22"/>
        </w:rPr>
      </w:pPr>
      <w:r w:rsidRPr="00DE778D">
        <w:rPr>
          <w:rFonts w:ascii="Arial" w:hAnsi="Arial" w:cs="Arial"/>
          <w:sz w:val="22"/>
        </w:rPr>
        <w:t xml:space="preserve">All </w:t>
      </w:r>
      <w:r w:rsidR="007248B7">
        <w:rPr>
          <w:rFonts w:ascii="Arial" w:hAnsi="Arial" w:cs="Arial"/>
          <w:sz w:val="22"/>
        </w:rPr>
        <w:t xml:space="preserve">of the </w:t>
      </w:r>
      <w:r w:rsidRPr="00DE778D">
        <w:rPr>
          <w:rFonts w:ascii="Arial" w:hAnsi="Arial" w:cs="Arial"/>
          <w:sz w:val="22"/>
        </w:rPr>
        <w:t xml:space="preserve">operations </w:t>
      </w:r>
      <w:r w:rsidR="00F3492C" w:rsidRPr="00DE778D">
        <w:rPr>
          <w:rFonts w:ascii="Arial" w:hAnsi="Arial" w:cs="Arial"/>
          <w:sz w:val="22"/>
        </w:rPr>
        <w:t xml:space="preserve">in this codelist </w:t>
      </w:r>
      <w:r w:rsidRPr="00DE778D">
        <w:rPr>
          <w:rFonts w:ascii="Arial" w:hAnsi="Arial" w:cs="Arial"/>
          <w:sz w:val="22"/>
        </w:rPr>
        <w:t xml:space="preserve">can be </w:t>
      </w:r>
      <w:r w:rsidR="00DE778D" w:rsidRPr="00DE778D">
        <w:rPr>
          <w:rFonts w:ascii="Arial" w:hAnsi="Arial" w:cs="Arial"/>
          <w:sz w:val="22"/>
        </w:rPr>
        <w:t xml:space="preserve">replicated in </w:t>
      </w:r>
      <w:r w:rsidRPr="00DE778D">
        <w:rPr>
          <w:rFonts w:ascii="Arial" w:hAnsi="Arial" w:cs="Arial"/>
          <w:sz w:val="22"/>
        </w:rPr>
        <w:t xml:space="preserve">VTL </w:t>
      </w:r>
      <w:r w:rsidR="00DE778D" w:rsidRPr="00DE778D">
        <w:rPr>
          <w:rFonts w:ascii="Arial" w:hAnsi="Arial" w:cs="Arial"/>
          <w:sz w:val="22"/>
        </w:rPr>
        <w:t xml:space="preserve">using </w:t>
      </w:r>
      <w:r w:rsidRPr="00DE778D">
        <w:rPr>
          <w:rFonts w:ascii="Arial" w:hAnsi="Arial" w:cs="Arial"/>
          <w:sz w:val="22"/>
        </w:rPr>
        <w:t>expressions.</w:t>
      </w:r>
    </w:p>
    <w:p w14:paraId="343E185D" w14:textId="2F26F808" w:rsidR="000A3A73" w:rsidRPr="00727B98" w:rsidRDefault="000A3A73" w:rsidP="00727B98">
      <w:pPr>
        <w:spacing w:before="120"/>
        <w:jc w:val="both"/>
        <w:rPr>
          <w:rFonts w:ascii="Arial" w:hAnsi="Arial" w:cs="Arial"/>
          <w:b/>
          <w:bCs/>
          <w:i/>
          <w:iCs/>
          <w:color w:val="336699"/>
          <w:szCs w:val="28"/>
          <w:lang w:eastAsia="en-US"/>
        </w:rPr>
      </w:pPr>
      <w:r w:rsidRPr="00727B98">
        <w:rPr>
          <w:rFonts w:ascii="Arial" w:hAnsi="Arial" w:cs="Arial"/>
          <w:b/>
          <w:bCs/>
          <w:i/>
          <w:iCs/>
          <w:color w:val="336699"/>
          <w:szCs w:val="28"/>
          <w:lang w:eastAsia="en-US"/>
        </w:rPr>
        <w:t>Quantiles</w:t>
      </w:r>
    </w:p>
    <w:p w14:paraId="74956C84" w14:textId="1E410875" w:rsidR="00DA774C" w:rsidRDefault="00F551D6" w:rsidP="00554E71">
      <w:pPr>
        <w:spacing w:before="120" w:after="2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</w:t>
      </w:r>
      <w:r w:rsidR="00A461CF">
        <w:rPr>
          <w:rFonts w:ascii="Arial" w:hAnsi="Arial" w:cs="Arial"/>
          <w:sz w:val="22"/>
        </w:rPr>
        <w:t xml:space="preserve">quantiles (quartiles, quintiles, deciles) in this codelist </w:t>
      </w:r>
      <w:r w:rsidR="00D62A81">
        <w:rPr>
          <w:rFonts w:ascii="Arial" w:hAnsi="Arial" w:cs="Arial"/>
          <w:sz w:val="22"/>
        </w:rPr>
        <w:t xml:space="preserve">are defined as the </w:t>
      </w:r>
      <w:r w:rsidR="00DA5DC9">
        <w:rPr>
          <w:rFonts w:ascii="Arial" w:hAnsi="Arial" w:cs="Arial"/>
          <w:sz w:val="22"/>
        </w:rPr>
        <w:t>cut point</w:t>
      </w:r>
      <w:r w:rsidR="00D62A81">
        <w:rPr>
          <w:rFonts w:ascii="Arial" w:hAnsi="Arial" w:cs="Arial"/>
          <w:sz w:val="22"/>
        </w:rPr>
        <w:t>s</w:t>
      </w:r>
      <w:r w:rsidR="00DA5DC9">
        <w:rPr>
          <w:rFonts w:ascii="Arial" w:hAnsi="Arial" w:cs="Arial"/>
          <w:sz w:val="22"/>
        </w:rPr>
        <w:t xml:space="preserve"> (not groups) in the distribution</w:t>
      </w:r>
      <w:r w:rsidR="00480012">
        <w:rPr>
          <w:rFonts w:ascii="Arial" w:hAnsi="Arial" w:cs="Arial"/>
          <w:sz w:val="22"/>
        </w:rPr>
        <w:t>, therefore t</w:t>
      </w:r>
      <w:r w:rsidR="00480012" w:rsidRPr="00480012">
        <w:rPr>
          <w:rFonts w:ascii="Arial" w:hAnsi="Arial" w:cs="Arial"/>
          <w:sz w:val="22"/>
        </w:rPr>
        <w:t>here is one fewer quantile than the number of groups</w:t>
      </w:r>
      <w:r w:rsidR="00DA5DC9">
        <w:rPr>
          <w:rFonts w:ascii="Arial" w:hAnsi="Arial" w:cs="Arial"/>
          <w:sz w:val="22"/>
        </w:rPr>
        <w:t>.</w:t>
      </w:r>
      <w:r w:rsidR="00A5317C">
        <w:rPr>
          <w:rFonts w:ascii="Arial" w:hAnsi="Arial" w:cs="Arial"/>
          <w:sz w:val="22"/>
        </w:rPr>
        <w:t xml:space="preserve"> This follows the definition </w:t>
      </w:r>
      <w:r w:rsidR="005D2A30">
        <w:rPr>
          <w:rFonts w:ascii="Arial" w:hAnsi="Arial" w:cs="Arial"/>
          <w:sz w:val="22"/>
        </w:rPr>
        <w:t xml:space="preserve">and examples </w:t>
      </w:r>
      <w:r w:rsidR="00A5317C">
        <w:rPr>
          <w:rFonts w:ascii="Arial" w:hAnsi="Arial" w:cs="Arial"/>
          <w:sz w:val="22"/>
        </w:rPr>
        <w:t xml:space="preserve">at </w:t>
      </w:r>
      <w:hyperlink r:id="rId12" w:history="1">
        <w:r w:rsidR="00A5317C" w:rsidRPr="00C77396">
          <w:rPr>
            <w:rStyle w:val="Hyperlink"/>
            <w:rFonts w:ascii="Arial" w:hAnsi="Arial" w:cs="Arial"/>
            <w:sz w:val="22"/>
          </w:rPr>
          <w:t>https://en.wikipedia.org/wiki/Quantile</w:t>
        </w:r>
      </w:hyperlink>
      <w:r w:rsidR="00A5317C">
        <w:rPr>
          <w:rFonts w:ascii="Arial" w:hAnsi="Arial" w:cs="Arial"/>
          <w:sz w:val="22"/>
        </w:rPr>
        <w:t xml:space="preserve">. </w:t>
      </w:r>
    </w:p>
    <w:p w14:paraId="115BF465" w14:textId="3F7329C5" w:rsidR="003729C4" w:rsidRDefault="001D3C80" w:rsidP="003729C4">
      <w:pPr>
        <w:pStyle w:val="Heading4"/>
        <w:shd w:val="clear" w:color="auto" w:fill="FFFFFF"/>
        <w:spacing w:before="72"/>
        <w:rPr>
          <w:rStyle w:val="mw-headline"/>
          <w:rFonts w:ascii="Arial" w:hAnsi="Arial" w:cs="Arial"/>
          <w:color w:val="000000"/>
          <w:sz w:val="21"/>
          <w:szCs w:val="21"/>
        </w:rPr>
      </w:pPr>
      <w:r>
        <w:rPr>
          <w:rStyle w:val="mw-headline"/>
          <w:rFonts w:ascii="Arial" w:hAnsi="Arial" w:cs="Arial"/>
          <w:color w:val="000000"/>
          <w:sz w:val="21"/>
          <w:szCs w:val="21"/>
        </w:rPr>
        <w:t>Example of e</w:t>
      </w:r>
      <w:r w:rsidR="003729C4">
        <w:rPr>
          <w:rStyle w:val="mw-headline"/>
          <w:rFonts w:ascii="Arial" w:hAnsi="Arial" w:cs="Arial"/>
          <w:color w:val="000000"/>
          <w:sz w:val="21"/>
          <w:szCs w:val="21"/>
        </w:rPr>
        <w:t>ven-sized population</w:t>
      </w:r>
      <w:r>
        <w:rPr>
          <w:rStyle w:val="mw-headline"/>
          <w:rFonts w:ascii="Arial" w:hAnsi="Arial" w:cs="Arial"/>
          <w:color w:val="000000"/>
          <w:sz w:val="21"/>
          <w:szCs w:val="21"/>
        </w:rPr>
        <w:t xml:space="preserve"> quartiles</w:t>
      </w:r>
      <w:r w:rsidR="00990A4E">
        <w:rPr>
          <w:rStyle w:val="FootnoteReference"/>
          <w:rFonts w:ascii="Arial" w:hAnsi="Arial" w:cs="Arial"/>
          <w:color w:val="000000"/>
          <w:sz w:val="21"/>
          <w:szCs w:val="21"/>
        </w:rPr>
        <w:footnoteReference w:id="2"/>
      </w:r>
    </w:p>
    <w:p w14:paraId="0FC72609" w14:textId="7BF6FA31" w:rsidR="000F08E3" w:rsidRDefault="000F08E3" w:rsidP="000F08E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>Consider an ordered population of 10 data values [3, 6, 7, 8, 8, 10, 13, 15, 16, 20]. What are the "quartiles" of this dataset?</w:t>
      </w:r>
    </w:p>
    <w:tbl>
      <w:tblPr>
        <w:tblW w:w="0" w:type="auto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7157"/>
        <w:gridCol w:w="804"/>
      </w:tblGrid>
      <w:tr w:rsidR="003729C4" w14:paraId="279DD575" w14:textId="77777777" w:rsidTr="003729C4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698A0B2" w14:textId="77777777" w:rsidR="003729C4" w:rsidRPr="003729C4" w:rsidRDefault="003729C4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202122"/>
                <w:sz w:val="20"/>
                <w:szCs w:val="20"/>
              </w:rPr>
            </w:pPr>
            <w:r w:rsidRPr="003729C4">
              <w:rPr>
                <w:rFonts w:ascii="Arial" w:hAnsi="Arial" w:cs="Arial"/>
                <w:b/>
                <w:bCs/>
                <w:color w:val="202122"/>
                <w:sz w:val="20"/>
                <w:szCs w:val="20"/>
              </w:rPr>
              <w:t>Quartile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859A4ED" w14:textId="77777777" w:rsidR="003729C4" w:rsidRPr="003729C4" w:rsidRDefault="003729C4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202122"/>
                <w:sz w:val="20"/>
                <w:szCs w:val="20"/>
              </w:rPr>
            </w:pPr>
            <w:r w:rsidRPr="003729C4">
              <w:rPr>
                <w:rFonts w:ascii="Arial" w:hAnsi="Arial" w:cs="Arial"/>
                <w:b/>
                <w:bCs/>
                <w:color w:val="202122"/>
                <w:sz w:val="20"/>
                <w:szCs w:val="20"/>
              </w:rPr>
              <w:t>Calculation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2191740" w14:textId="77777777" w:rsidR="003729C4" w:rsidRPr="003729C4" w:rsidRDefault="003729C4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202122"/>
                <w:sz w:val="20"/>
                <w:szCs w:val="20"/>
              </w:rPr>
            </w:pPr>
            <w:r w:rsidRPr="003729C4">
              <w:rPr>
                <w:rFonts w:ascii="Arial" w:hAnsi="Arial" w:cs="Arial"/>
                <w:b/>
                <w:bCs/>
                <w:color w:val="202122"/>
                <w:sz w:val="20"/>
                <w:szCs w:val="20"/>
              </w:rPr>
              <w:t>Result</w:t>
            </w:r>
          </w:p>
        </w:tc>
      </w:tr>
      <w:tr w:rsidR="003729C4" w14:paraId="283F3075" w14:textId="77777777" w:rsidTr="003729C4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17054D9" w14:textId="77777777" w:rsidR="003729C4" w:rsidRPr="003729C4" w:rsidRDefault="003729C4">
            <w:pPr>
              <w:spacing w:before="240" w:after="240"/>
              <w:rPr>
                <w:rFonts w:ascii="Arial" w:hAnsi="Arial" w:cs="Arial"/>
                <w:color w:val="202122"/>
                <w:sz w:val="20"/>
                <w:szCs w:val="20"/>
              </w:rPr>
            </w:pPr>
            <w:r w:rsidRPr="003729C4">
              <w:rPr>
                <w:rFonts w:ascii="Arial" w:hAnsi="Arial" w:cs="Arial"/>
                <w:color w:val="202122"/>
                <w:sz w:val="20"/>
                <w:szCs w:val="20"/>
              </w:rPr>
              <w:t>First quartile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D73E66B" w14:textId="77777777" w:rsidR="003729C4" w:rsidRPr="003729C4" w:rsidRDefault="003729C4">
            <w:pPr>
              <w:spacing w:before="240" w:after="240"/>
              <w:rPr>
                <w:rFonts w:ascii="Arial" w:hAnsi="Arial" w:cs="Arial"/>
                <w:color w:val="202122"/>
                <w:sz w:val="20"/>
                <w:szCs w:val="20"/>
              </w:rPr>
            </w:pPr>
            <w:r w:rsidRPr="003729C4">
              <w:rPr>
                <w:rFonts w:ascii="Arial" w:hAnsi="Arial" w:cs="Arial"/>
                <w:color w:val="202122"/>
                <w:sz w:val="20"/>
                <w:szCs w:val="20"/>
              </w:rPr>
              <w:t>The rank of the first quartile is 10×(1/4) = 2.5, which rounds up to 3, meaning that 3 is the rank in the population (from least to greatest values) at which approximately 1/4 of the values are less than the value of the first quartile. The third value in the population is 7.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25B6BB1" w14:textId="77777777" w:rsidR="003729C4" w:rsidRPr="003729C4" w:rsidRDefault="003729C4">
            <w:pPr>
              <w:spacing w:before="240" w:after="240"/>
              <w:rPr>
                <w:rFonts w:ascii="Arial" w:hAnsi="Arial" w:cs="Arial"/>
                <w:color w:val="202122"/>
                <w:sz w:val="20"/>
                <w:szCs w:val="20"/>
              </w:rPr>
            </w:pPr>
            <w:r w:rsidRPr="003729C4">
              <w:rPr>
                <w:rFonts w:ascii="Arial" w:hAnsi="Arial" w:cs="Arial"/>
                <w:color w:val="202122"/>
                <w:sz w:val="20"/>
                <w:szCs w:val="20"/>
              </w:rPr>
              <w:t>7</w:t>
            </w:r>
          </w:p>
        </w:tc>
      </w:tr>
      <w:tr w:rsidR="003729C4" w14:paraId="31B972C5" w14:textId="77777777" w:rsidTr="003729C4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B32B31A" w14:textId="77777777" w:rsidR="003729C4" w:rsidRPr="003729C4" w:rsidRDefault="003729C4">
            <w:pPr>
              <w:spacing w:before="240" w:after="240"/>
              <w:rPr>
                <w:rFonts w:ascii="Arial" w:hAnsi="Arial" w:cs="Arial"/>
                <w:color w:val="202122"/>
                <w:sz w:val="20"/>
                <w:szCs w:val="20"/>
              </w:rPr>
            </w:pPr>
            <w:r w:rsidRPr="003729C4">
              <w:rPr>
                <w:rFonts w:ascii="Arial" w:hAnsi="Arial" w:cs="Arial"/>
                <w:color w:val="202122"/>
                <w:sz w:val="20"/>
                <w:szCs w:val="20"/>
              </w:rPr>
              <w:t>Second quartile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30DA193" w14:textId="77777777" w:rsidR="003729C4" w:rsidRPr="003729C4" w:rsidRDefault="003729C4">
            <w:pPr>
              <w:spacing w:before="240" w:after="240"/>
              <w:rPr>
                <w:rFonts w:ascii="Arial" w:hAnsi="Arial" w:cs="Arial"/>
                <w:color w:val="202122"/>
                <w:sz w:val="20"/>
                <w:szCs w:val="20"/>
              </w:rPr>
            </w:pPr>
            <w:r w:rsidRPr="003729C4">
              <w:rPr>
                <w:rFonts w:ascii="Arial" w:hAnsi="Arial" w:cs="Arial"/>
                <w:color w:val="202122"/>
                <w:sz w:val="20"/>
                <w:szCs w:val="20"/>
              </w:rPr>
              <w:t>The rank of the second quartile (same as the median) is 10×(2/4) = 5, which is an integer, while the number of values (10) is an even number, so the average of both the fifth and sixth values is taken—that is (8+10)/2 = 9, though any value from 8 through to 10 could be taken to be the median.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CFC2F90" w14:textId="77777777" w:rsidR="003729C4" w:rsidRPr="003729C4" w:rsidRDefault="003729C4">
            <w:pPr>
              <w:spacing w:before="240" w:after="240"/>
              <w:rPr>
                <w:rFonts w:ascii="Arial" w:hAnsi="Arial" w:cs="Arial"/>
                <w:color w:val="202122"/>
                <w:sz w:val="20"/>
                <w:szCs w:val="20"/>
              </w:rPr>
            </w:pPr>
            <w:r w:rsidRPr="003729C4">
              <w:rPr>
                <w:rFonts w:ascii="Arial" w:hAnsi="Arial" w:cs="Arial"/>
                <w:color w:val="202122"/>
                <w:sz w:val="20"/>
                <w:szCs w:val="20"/>
              </w:rPr>
              <w:t>9</w:t>
            </w:r>
          </w:p>
        </w:tc>
      </w:tr>
      <w:tr w:rsidR="003729C4" w14:paraId="380017F1" w14:textId="77777777" w:rsidTr="003729C4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274B6AD" w14:textId="77777777" w:rsidR="003729C4" w:rsidRPr="003729C4" w:rsidRDefault="003729C4">
            <w:pPr>
              <w:spacing w:before="240" w:after="240"/>
              <w:rPr>
                <w:rFonts w:ascii="Arial" w:hAnsi="Arial" w:cs="Arial"/>
                <w:color w:val="202122"/>
                <w:sz w:val="20"/>
                <w:szCs w:val="20"/>
              </w:rPr>
            </w:pPr>
            <w:r w:rsidRPr="003729C4">
              <w:rPr>
                <w:rFonts w:ascii="Arial" w:hAnsi="Arial" w:cs="Arial"/>
                <w:color w:val="202122"/>
                <w:sz w:val="20"/>
                <w:szCs w:val="20"/>
              </w:rPr>
              <w:t>Third quartile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290CCC9" w14:textId="77777777" w:rsidR="003729C4" w:rsidRPr="003729C4" w:rsidRDefault="003729C4">
            <w:pPr>
              <w:spacing w:before="240" w:after="240"/>
              <w:rPr>
                <w:rFonts w:ascii="Arial" w:hAnsi="Arial" w:cs="Arial"/>
                <w:color w:val="202122"/>
                <w:sz w:val="20"/>
                <w:szCs w:val="20"/>
              </w:rPr>
            </w:pPr>
            <w:r w:rsidRPr="003729C4">
              <w:rPr>
                <w:rFonts w:ascii="Arial" w:hAnsi="Arial" w:cs="Arial"/>
                <w:color w:val="202122"/>
                <w:sz w:val="20"/>
                <w:szCs w:val="20"/>
              </w:rPr>
              <w:t>The rank of the third quartile is 10×(3/4) = 7.5, which rounds up to 8. The eighth value in the population is 15.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80D0EDD" w14:textId="77777777" w:rsidR="003729C4" w:rsidRPr="003729C4" w:rsidRDefault="003729C4">
            <w:pPr>
              <w:spacing w:before="240" w:after="240"/>
              <w:rPr>
                <w:rFonts w:ascii="Arial" w:hAnsi="Arial" w:cs="Arial"/>
                <w:color w:val="202122"/>
                <w:sz w:val="20"/>
                <w:szCs w:val="20"/>
              </w:rPr>
            </w:pPr>
            <w:r w:rsidRPr="003729C4">
              <w:rPr>
                <w:rFonts w:ascii="Arial" w:hAnsi="Arial" w:cs="Arial"/>
                <w:color w:val="202122"/>
                <w:sz w:val="20"/>
                <w:szCs w:val="20"/>
              </w:rPr>
              <w:t>15</w:t>
            </w:r>
          </w:p>
        </w:tc>
      </w:tr>
    </w:tbl>
    <w:p w14:paraId="05DFA53F" w14:textId="58086947" w:rsidR="003729C4" w:rsidRDefault="003729C4" w:rsidP="003729C4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 xml:space="preserve">So the first, second and third quartiles of the dataset are [7, 9, 15]. </w:t>
      </w:r>
    </w:p>
    <w:p w14:paraId="44AEEC7F" w14:textId="3659670B" w:rsidR="006E0FDA" w:rsidRDefault="006E0FDA" w:rsidP="006E0FDA">
      <w:pPr>
        <w:pStyle w:val="Heading4"/>
        <w:shd w:val="clear" w:color="auto" w:fill="FFFFFF"/>
        <w:spacing w:before="72"/>
        <w:rPr>
          <w:rStyle w:val="mw-headline"/>
          <w:rFonts w:ascii="Arial" w:hAnsi="Arial" w:cs="Arial"/>
          <w:color w:val="000000"/>
          <w:sz w:val="21"/>
          <w:szCs w:val="21"/>
        </w:rPr>
      </w:pPr>
      <w:r>
        <w:rPr>
          <w:rStyle w:val="mw-headline"/>
          <w:rFonts w:ascii="Arial" w:hAnsi="Arial" w:cs="Arial"/>
          <w:color w:val="000000"/>
          <w:sz w:val="21"/>
          <w:szCs w:val="21"/>
        </w:rPr>
        <w:t>Example of odd-sized population quartiles</w:t>
      </w:r>
      <w:r w:rsidR="008A47DE">
        <w:rPr>
          <w:rStyle w:val="FootnoteReference"/>
          <w:rFonts w:ascii="Arial" w:hAnsi="Arial" w:cs="Arial"/>
          <w:color w:val="000000"/>
          <w:sz w:val="21"/>
          <w:szCs w:val="21"/>
        </w:rPr>
        <w:footnoteReference w:id="3"/>
      </w:r>
    </w:p>
    <w:p w14:paraId="53617246" w14:textId="2FEBBDF6" w:rsidR="005D2A30" w:rsidRDefault="005C037E" w:rsidP="00554E71">
      <w:pPr>
        <w:spacing w:before="120" w:after="2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Consider an ordered population of 11 data values [3, 6, 7, 8, 8, 9, 10, 13, 15, 16, 20]. What are the "quartiles" of this dataset?</w:t>
      </w:r>
    </w:p>
    <w:tbl>
      <w:tblPr>
        <w:tblW w:w="0" w:type="auto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5"/>
        <w:gridCol w:w="7137"/>
        <w:gridCol w:w="834"/>
      </w:tblGrid>
      <w:tr w:rsidR="001F3BAF" w14:paraId="22786424" w14:textId="77777777" w:rsidTr="001F3BAF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D78692E" w14:textId="77777777" w:rsidR="001F3BAF" w:rsidRPr="001F3BAF" w:rsidRDefault="001F3BAF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202122"/>
                <w:sz w:val="20"/>
                <w:szCs w:val="20"/>
              </w:rPr>
            </w:pPr>
            <w:r w:rsidRPr="001F3BAF">
              <w:rPr>
                <w:rFonts w:ascii="Arial" w:hAnsi="Arial" w:cs="Arial"/>
                <w:b/>
                <w:bCs/>
                <w:color w:val="202122"/>
                <w:sz w:val="20"/>
                <w:szCs w:val="20"/>
              </w:rPr>
              <w:t>Quartile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F680ABD" w14:textId="77777777" w:rsidR="001F3BAF" w:rsidRPr="001F3BAF" w:rsidRDefault="001F3BAF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202122"/>
                <w:sz w:val="20"/>
                <w:szCs w:val="20"/>
              </w:rPr>
            </w:pPr>
            <w:r w:rsidRPr="001F3BAF">
              <w:rPr>
                <w:rFonts w:ascii="Arial" w:hAnsi="Arial" w:cs="Arial"/>
                <w:b/>
                <w:bCs/>
                <w:color w:val="202122"/>
                <w:sz w:val="20"/>
                <w:szCs w:val="20"/>
              </w:rPr>
              <w:t>Calculation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570C669" w14:textId="77777777" w:rsidR="001F3BAF" w:rsidRDefault="001F3BAF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02122"/>
                <w:sz w:val="21"/>
                <w:szCs w:val="21"/>
              </w:rPr>
              <w:t>Result</w:t>
            </w:r>
          </w:p>
        </w:tc>
      </w:tr>
      <w:tr w:rsidR="001F3BAF" w14:paraId="3F94E5D5" w14:textId="77777777" w:rsidTr="001F3BAF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75E2210" w14:textId="77777777" w:rsidR="001F3BAF" w:rsidRPr="001F3BAF" w:rsidRDefault="001F3BAF">
            <w:pPr>
              <w:spacing w:before="240" w:after="240"/>
              <w:rPr>
                <w:rFonts w:ascii="Arial" w:hAnsi="Arial" w:cs="Arial"/>
                <w:color w:val="202122"/>
                <w:sz w:val="20"/>
                <w:szCs w:val="20"/>
              </w:rPr>
            </w:pPr>
            <w:r w:rsidRPr="001F3BAF">
              <w:rPr>
                <w:rFonts w:ascii="Arial" w:hAnsi="Arial" w:cs="Arial"/>
                <w:color w:val="202122"/>
                <w:sz w:val="20"/>
                <w:szCs w:val="20"/>
              </w:rPr>
              <w:t>First quartile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14DAA37" w14:textId="77777777" w:rsidR="001F3BAF" w:rsidRPr="001F3BAF" w:rsidRDefault="001F3BAF">
            <w:pPr>
              <w:spacing w:before="240" w:after="240"/>
              <w:rPr>
                <w:rFonts w:ascii="Arial" w:hAnsi="Arial" w:cs="Arial"/>
                <w:color w:val="202122"/>
                <w:sz w:val="20"/>
                <w:szCs w:val="20"/>
              </w:rPr>
            </w:pPr>
            <w:r w:rsidRPr="001F3BAF">
              <w:rPr>
                <w:rFonts w:ascii="Arial" w:hAnsi="Arial" w:cs="Arial"/>
                <w:color w:val="202122"/>
                <w:sz w:val="20"/>
                <w:szCs w:val="20"/>
              </w:rPr>
              <w:t>The first quartile is determined by 11×(1/4) = 2.75, which rounds up to 3, meaning that 3 is the rank in the population (from least to greatest values) at which approximately 1/4 of the values are less than the value of the first quartile. The third value in the population is 7.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B87B0C3" w14:textId="77777777" w:rsidR="001F3BAF" w:rsidRDefault="001F3BAF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7</w:t>
            </w:r>
          </w:p>
        </w:tc>
      </w:tr>
      <w:tr w:rsidR="001F3BAF" w14:paraId="7350E7C2" w14:textId="77777777" w:rsidTr="001F3BAF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E41FC2D" w14:textId="77777777" w:rsidR="001F3BAF" w:rsidRPr="001F3BAF" w:rsidRDefault="001F3BAF">
            <w:pPr>
              <w:spacing w:before="240" w:after="240"/>
              <w:rPr>
                <w:rFonts w:ascii="Arial" w:hAnsi="Arial" w:cs="Arial"/>
                <w:color w:val="202122"/>
                <w:sz w:val="20"/>
                <w:szCs w:val="20"/>
              </w:rPr>
            </w:pPr>
            <w:r w:rsidRPr="001F3BAF">
              <w:rPr>
                <w:rFonts w:ascii="Arial" w:hAnsi="Arial" w:cs="Arial"/>
                <w:color w:val="202122"/>
                <w:sz w:val="20"/>
                <w:szCs w:val="20"/>
              </w:rPr>
              <w:t>Second quartile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47419C5" w14:textId="77777777" w:rsidR="001F3BAF" w:rsidRPr="001F3BAF" w:rsidRDefault="001F3BAF">
            <w:pPr>
              <w:spacing w:before="240" w:after="240"/>
              <w:rPr>
                <w:rFonts w:ascii="Arial" w:hAnsi="Arial" w:cs="Arial"/>
                <w:color w:val="202122"/>
                <w:sz w:val="20"/>
                <w:szCs w:val="20"/>
              </w:rPr>
            </w:pPr>
            <w:r w:rsidRPr="001F3BAF">
              <w:rPr>
                <w:rFonts w:ascii="Arial" w:hAnsi="Arial" w:cs="Arial"/>
                <w:color w:val="202122"/>
                <w:sz w:val="20"/>
                <w:szCs w:val="20"/>
              </w:rPr>
              <w:t>The second quartile value (same as the median) is determined by 11×(2/4) = 5.5, which rounds up to 6. Therefore, 6 is the rank in the population (from least to greatest values) at which approximately 2/4 of the values are less than the value of the second quartile (or median). The sixth value in the population is 9.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50D8917" w14:textId="77777777" w:rsidR="001F3BAF" w:rsidRDefault="001F3BAF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9</w:t>
            </w:r>
          </w:p>
        </w:tc>
      </w:tr>
      <w:tr w:rsidR="001F3BAF" w14:paraId="6F83BC5B" w14:textId="77777777" w:rsidTr="001F3BAF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1D7E45B" w14:textId="77777777" w:rsidR="001F3BAF" w:rsidRPr="001F3BAF" w:rsidRDefault="001F3BAF">
            <w:pPr>
              <w:spacing w:before="240" w:after="240"/>
              <w:rPr>
                <w:rFonts w:ascii="Arial" w:hAnsi="Arial" w:cs="Arial"/>
                <w:color w:val="202122"/>
                <w:sz w:val="20"/>
                <w:szCs w:val="20"/>
              </w:rPr>
            </w:pPr>
            <w:r w:rsidRPr="001F3BAF">
              <w:rPr>
                <w:rFonts w:ascii="Arial" w:hAnsi="Arial" w:cs="Arial"/>
                <w:color w:val="202122"/>
                <w:sz w:val="20"/>
                <w:szCs w:val="20"/>
              </w:rPr>
              <w:t>Third quartile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26039AB" w14:textId="77777777" w:rsidR="001F3BAF" w:rsidRPr="001F3BAF" w:rsidRDefault="001F3BAF">
            <w:pPr>
              <w:spacing w:before="240" w:after="240"/>
              <w:rPr>
                <w:rFonts w:ascii="Arial" w:hAnsi="Arial" w:cs="Arial"/>
                <w:color w:val="202122"/>
                <w:sz w:val="20"/>
                <w:szCs w:val="20"/>
              </w:rPr>
            </w:pPr>
            <w:r w:rsidRPr="001F3BAF">
              <w:rPr>
                <w:rFonts w:ascii="Arial" w:hAnsi="Arial" w:cs="Arial"/>
                <w:color w:val="202122"/>
                <w:sz w:val="20"/>
                <w:szCs w:val="20"/>
              </w:rPr>
              <w:t>The third quartile value for the original example above is determined by 11×(3/4) = 8.25, which rounds up to 9. The ninth value in the population is 15.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0914152" w14:textId="77777777" w:rsidR="001F3BAF" w:rsidRDefault="001F3BAF">
            <w:pPr>
              <w:spacing w:before="240" w:after="240"/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15</w:t>
            </w:r>
          </w:p>
        </w:tc>
      </w:tr>
    </w:tbl>
    <w:p w14:paraId="0EC0F098" w14:textId="19E7F7B3" w:rsidR="001F3BAF" w:rsidRDefault="001F3BAF" w:rsidP="001F3BA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 xml:space="preserve">So the first, second and third quartiles of the dataset are [7, 9, 15]. </w:t>
      </w:r>
    </w:p>
    <w:p w14:paraId="179AD5EF" w14:textId="79BFC72B" w:rsidR="00BB42D1" w:rsidRDefault="00863136" w:rsidP="00727B98">
      <w:pPr>
        <w:pStyle w:val="Heading2"/>
      </w:pPr>
      <w:r>
        <w:t>R</w:t>
      </w:r>
      <w:r w:rsidR="00467504" w:rsidRPr="00906058">
        <w:t>ecommended code values</w:t>
      </w:r>
    </w:p>
    <w:p w14:paraId="574F5068" w14:textId="1BD00D4C" w:rsidR="00554E71" w:rsidRPr="00906058" w:rsidRDefault="000B2790" w:rsidP="00554E71">
      <w:pPr>
        <w:spacing w:before="120" w:after="240"/>
        <w:jc w:val="both"/>
        <w:rPr>
          <w:rFonts w:ascii="Arial" w:hAnsi="Arial" w:cs="Arial"/>
          <w:sz w:val="22"/>
        </w:rPr>
      </w:pPr>
      <w:r w:rsidRPr="00906058">
        <w:rPr>
          <w:rFonts w:ascii="Arial" w:hAnsi="Arial" w:cs="Arial"/>
          <w:sz w:val="22"/>
        </w:rPr>
        <w:t xml:space="preserve">Further recommended code values for expressing general statistical concepts </w:t>
      </w:r>
      <w:r w:rsidR="004F0467" w:rsidRPr="00906058">
        <w:rPr>
          <w:rFonts w:ascii="Arial" w:hAnsi="Arial" w:cs="Arial"/>
          <w:sz w:val="22"/>
        </w:rPr>
        <w:t xml:space="preserve">can </w:t>
      </w:r>
      <w:r w:rsidRPr="00906058">
        <w:rPr>
          <w:rFonts w:ascii="Arial" w:hAnsi="Arial" w:cs="Arial"/>
          <w:sz w:val="22"/>
        </w:rPr>
        <w:t>be found in section “Generic codes” of the "Guidelines for the creation and management of SDMX Cross-Domain Code Lists"</w:t>
      </w:r>
      <w:r w:rsidR="004F0467" w:rsidRPr="00906058">
        <w:rPr>
          <w:rStyle w:val="FootnoteReference"/>
          <w:rFonts w:ascii="Arial" w:hAnsi="Arial" w:cs="Arial"/>
          <w:sz w:val="22"/>
        </w:rPr>
        <w:footnoteReference w:id="4"/>
      </w:r>
      <w:r w:rsidR="00400641" w:rsidRPr="00906058">
        <w:rPr>
          <w:rFonts w:ascii="Arial" w:hAnsi="Arial" w:cs="Arial"/>
          <w:sz w:val="22"/>
        </w:rPr>
        <w:t>.</w:t>
      </w:r>
    </w:p>
    <w:sectPr w:rsidR="00554E71" w:rsidRPr="00906058" w:rsidSect="0093799E">
      <w:pgSz w:w="11906" w:h="16838"/>
      <w:pgMar w:top="1440" w:right="1416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4B3334" w14:textId="77777777" w:rsidR="00A92497" w:rsidRDefault="00A92497" w:rsidP="000B2790">
      <w:r>
        <w:separator/>
      </w:r>
    </w:p>
  </w:endnote>
  <w:endnote w:type="continuationSeparator" w:id="0">
    <w:p w14:paraId="43E52F4B" w14:textId="77777777" w:rsidR="00A92497" w:rsidRDefault="00A92497" w:rsidP="000B2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65267" w14:textId="77777777" w:rsidR="00A92497" w:rsidRDefault="00A92497" w:rsidP="000B2790">
      <w:r>
        <w:separator/>
      </w:r>
    </w:p>
  </w:footnote>
  <w:footnote w:type="continuationSeparator" w:id="0">
    <w:p w14:paraId="257E2DC7" w14:textId="77777777" w:rsidR="00A92497" w:rsidRDefault="00A92497" w:rsidP="000B2790">
      <w:r>
        <w:continuationSeparator/>
      </w:r>
    </w:p>
  </w:footnote>
  <w:footnote w:id="1">
    <w:p w14:paraId="1587CFAB" w14:textId="77777777" w:rsidR="009469DF" w:rsidRDefault="009469DF" w:rsidP="002A313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A35600">
          <w:rPr>
            <w:rStyle w:val="Hyperlink"/>
          </w:rPr>
          <w:t xml:space="preserve">https://sdmx.org/wp-content/uploads/VTL-2.0-Reference-Manual-20180712-final.pdf </w:t>
        </w:r>
      </w:hyperlink>
      <w:r>
        <w:t xml:space="preserve"> section VTL-ML - Aggregate and Analytic operators. All other operations can be done using VTL expressions.</w:t>
      </w:r>
    </w:p>
  </w:footnote>
  <w:footnote w:id="2">
    <w:p w14:paraId="40163A11" w14:textId="40538910" w:rsidR="00990A4E" w:rsidRPr="00427D5C" w:rsidRDefault="00990A4E">
      <w:pPr>
        <w:pStyle w:val="FootnoteText"/>
      </w:pPr>
      <w:r>
        <w:rPr>
          <w:rStyle w:val="FootnoteReference"/>
        </w:rPr>
        <w:footnoteRef/>
      </w:r>
      <w:r w:rsidRPr="00427D5C">
        <w:t xml:space="preserve"> Example source: </w:t>
      </w:r>
      <w:hyperlink r:id="rId2" w:history="1">
        <w:r w:rsidR="008A47DE" w:rsidRPr="00427D5C">
          <w:rPr>
            <w:rStyle w:val="Hyperlink"/>
          </w:rPr>
          <w:t>https://en.wikipedia.org/wiki/Quantile</w:t>
        </w:r>
      </w:hyperlink>
      <w:r w:rsidR="008A47DE" w:rsidRPr="00427D5C">
        <w:t xml:space="preserve"> </w:t>
      </w:r>
    </w:p>
  </w:footnote>
  <w:footnote w:id="3">
    <w:p w14:paraId="1ED2E79E" w14:textId="69EB9080" w:rsidR="008A47DE" w:rsidRPr="00427D5C" w:rsidRDefault="008A47DE">
      <w:pPr>
        <w:pStyle w:val="FootnoteText"/>
      </w:pPr>
      <w:r>
        <w:rPr>
          <w:rStyle w:val="FootnoteReference"/>
        </w:rPr>
        <w:footnoteRef/>
      </w:r>
      <w:r w:rsidRPr="00427D5C">
        <w:t xml:space="preserve"> Example source: </w:t>
      </w:r>
      <w:hyperlink r:id="rId3" w:history="1">
        <w:r w:rsidRPr="00427D5C">
          <w:rPr>
            <w:rStyle w:val="Hyperlink"/>
          </w:rPr>
          <w:t>https://en.wikipedia.org/wiki/Quantile</w:t>
        </w:r>
      </w:hyperlink>
    </w:p>
  </w:footnote>
  <w:footnote w:id="4">
    <w:p w14:paraId="18D7E18F" w14:textId="77777777" w:rsidR="004F0467" w:rsidRPr="00E430FC" w:rsidRDefault="004F0467">
      <w:pPr>
        <w:pStyle w:val="FootnoteText"/>
      </w:pPr>
      <w:r>
        <w:rPr>
          <w:rStyle w:val="FootnoteReference"/>
        </w:rPr>
        <w:footnoteRef/>
      </w:r>
      <w:r w:rsidRPr="00E430FC">
        <w:t xml:space="preserve"> </w:t>
      </w:r>
      <w:hyperlink r:id="rId4" w:anchor="CodeListGuideline" w:history="1">
        <w:r w:rsidR="007E7345" w:rsidRPr="00E430FC">
          <w:rPr>
            <w:rStyle w:val="Hyperlink"/>
          </w:rPr>
          <w:t>https://sdmx.org/?page_id=4345%20-%20CodeListGuideline#CodeListGuideline</w:t>
        </w:r>
      </w:hyperlink>
      <w:r w:rsidR="007E7345" w:rsidRPr="00E430FC">
        <w:t xml:space="preserve"> </w:t>
      </w:r>
      <w:r w:rsidRPr="00E430FC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03686"/>
    <w:multiLevelType w:val="hybridMultilevel"/>
    <w:tmpl w:val="EF8A0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255EE"/>
    <w:multiLevelType w:val="multilevel"/>
    <w:tmpl w:val="9654A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2E2460"/>
    <w:multiLevelType w:val="multilevel"/>
    <w:tmpl w:val="7DD86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fr-BE" w:vendorID="64" w:dllVersion="4096" w:nlCheck="1" w:checkStyle="0"/>
  <w:activeWritingStyle w:appName="MSWord" w:lang="en-CA" w:vendorID="64" w:dllVersion="6" w:nlCheck="1" w:checkStyle="1"/>
  <w:activeWritingStyle w:appName="MSWord" w:lang="en-GB" w:vendorID="64" w:dllVersion="0" w:nlCheck="1" w:checkStyle="0"/>
  <w:activeWritingStyle w:appName="MSWord" w:lang="fr-BE" w:vendorID="64" w:dllVersion="0" w:nlCheck="1" w:checkStyle="0"/>
  <w:activeWritingStyle w:appName="MSWord" w:lang="en-CA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it-IT" w:vendorID="64" w:dllVersion="6" w:nlCheck="1" w:checkStyle="0"/>
  <w:activeWritingStyle w:appName="MSWord" w:lang="fr-FR" w:vendorID="64" w:dllVersion="0" w:nlCheck="1" w:checkStyle="0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F348A8"/>
    <w:rsid w:val="00002189"/>
    <w:rsid w:val="00025D88"/>
    <w:rsid w:val="00047E7E"/>
    <w:rsid w:val="00051524"/>
    <w:rsid w:val="00054301"/>
    <w:rsid w:val="00055F1C"/>
    <w:rsid w:val="0006064F"/>
    <w:rsid w:val="00072C4E"/>
    <w:rsid w:val="000759F8"/>
    <w:rsid w:val="000763E0"/>
    <w:rsid w:val="00076E57"/>
    <w:rsid w:val="00081391"/>
    <w:rsid w:val="0008360E"/>
    <w:rsid w:val="00090758"/>
    <w:rsid w:val="00093813"/>
    <w:rsid w:val="000A3A73"/>
    <w:rsid w:val="000B10CD"/>
    <w:rsid w:val="000B2790"/>
    <w:rsid w:val="000B75D3"/>
    <w:rsid w:val="000C124B"/>
    <w:rsid w:val="000C4557"/>
    <w:rsid w:val="000C69E0"/>
    <w:rsid w:val="000C6FFD"/>
    <w:rsid w:val="000E03AA"/>
    <w:rsid w:val="000E122F"/>
    <w:rsid w:val="000E180D"/>
    <w:rsid w:val="000F08E3"/>
    <w:rsid w:val="000F2041"/>
    <w:rsid w:val="000F281E"/>
    <w:rsid w:val="000F38D2"/>
    <w:rsid w:val="0010032D"/>
    <w:rsid w:val="001038E3"/>
    <w:rsid w:val="00105CD2"/>
    <w:rsid w:val="00111C00"/>
    <w:rsid w:val="0011615C"/>
    <w:rsid w:val="00120EDF"/>
    <w:rsid w:val="00125245"/>
    <w:rsid w:val="001261BE"/>
    <w:rsid w:val="0013395F"/>
    <w:rsid w:val="0014355B"/>
    <w:rsid w:val="00143863"/>
    <w:rsid w:val="0014397E"/>
    <w:rsid w:val="001444D1"/>
    <w:rsid w:val="0015114D"/>
    <w:rsid w:val="00155CA7"/>
    <w:rsid w:val="00155F7A"/>
    <w:rsid w:val="00164606"/>
    <w:rsid w:val="001717AD"/>
    <w:rsid w:val="00174FC7"/>
    <w:rsid w:val="001752D3"/>
    <w:rsid w:val="00175EED"/>
    <w:rsid w:val="00177DF7"/>
    <w:rsid w:val="00181EBC"/>
    <w:rsid w:val="001843B0"/>
    <w:rsid w:val="00187BEC"/>
    <w:rsid w:val="00191E12"/>
    <w:rsid w:val="0019745A"/>
    <w:rsid w:val="001A0293"/>
    <w:rsid w:val="001A4124"/>
    <w:rsid w:val="001B2842"/>
    <w:rsid w:val="001B5C2E"/>
    <w:rsid w:val="001C69C8"/>
    <w:rsid w:val="001D3C80"/>
    <w:rsid w:val="001D7E7B"/>
    <w:rsid w:val="001E5CD7"/>
    <w:rsid w:val="001E7430"/>
    <w:rsid w:val="001F0196"/>
    <w:rsid w:val="001F0C07"/>
    <w:rsid w:val="001F1777"/>
    <w:rsid w:val="001F248F"/>
    <w:rsid w:val="001F3827"/>
    <w:rsid w:val="001F3BAF"/>
    <w:rsid w:val="002018E2"/>
    <w:rsid w:val="00202B7B"/>
    <w:rsid w:val="0021091C"/>
    <w:rsid w:val="00211042"/>
    <w:rsid w:val="002139D9"/>
    <w:rsid w:val="002158A9"/>
    <w:rsid w:val="00221C91"/>
    <w:rsid w:val="00225164"/>
    <w:rsid w:val="0023357F"/>
    <w:rsid w:val="00234A00"/>
    <w:rsid w:val="002369E4"/>
    <w:rsid w:val="002376F5"/>
    <w:rsid w:val="00241D5D"/>
    <w:rsid w:val="00250757"/>
    <w:rsid w:val="00260F8B"/>
    <w:rsid w:val="002668BA"/>
    <w:rsid w:val="00271B4F"/>
    <w:rsid w:val="00274888"/>
    <w:rsid w:val="002857E5"/>
    <w:rsid w:val="00292339"/>
    <w:rsid w:val="002A313F"/>
    <w:rsid w:val="002A7B3E"/>
    <w:rsid w:val="002B457E"/>
    <w:rsid w:val="002B5DFF"/>
    <w:rsid w:val="002C13AC"/>
    <w:rsid w:val="002D27B8"/>
    <w:rsid w:val="002E303A"/>
    <w:rsid w:val="002F1511"/>
    <w:rsid w:val="002F65BA"/>
    <w:rsid w:val="0031114F"/>
    <w:rsid w:val="0031158B"/>
    <w:rsid w:val="003124C1"/>
    <w:rsid w:val="0031289E"/>
    <w:rsid w:val="00313782"/>
    <w:rsid w:val="00315A22"/>
    <w:rsid w:val="00316FF3"/>
    <w:rsid w:val="00326251"/>
    <w:rsid w:val="003272C0"/>
    <w:rsid w:val="00334D16"/>
    <w:rsid w:val="0034025B"/>
    <w:rsid w:val="00344C3E"/>
    <w:rsid w:val="0035181D"/>
    <w:rsid w:val="0035208F"/>
    <w:rsid w:val="00360633"/>
    <w:rsid w:val="00361DA9"/>
    <w:rsid w:val="003620F3"/>
    <w:rsid w:val="0036348B"/>
    <w:rsid w:val="003729C4"/>
    <w:rsid w:val="0037584D"/>
    <w:rsid w:val="00376DE2"/>
    <w:rsid w:val="003771FF"/>
    <w:rsid w:val="00382049"/>
    <w:rsid w:val="00382C8B"/>
    <w:rsid w:val="003837E8"/>
    <w:rsid w:val="0038594C"/>
    <w:rsid w:val="00390007"/>
    <w:rsid w:val="00390245"/>
    <w:rsid w:val="00393EB7"/>
    <w:rsid w:val="003A12B9"/>
    <w:rsid w:val="003A6A3F"/>
    <w:rsid w:val="003B0D41"/>
    <w:rsid w:val="003B3101"/>
    <w:rsid w:val="003B5481"/>
    <w:rsid w:val="003B5685"/>
    <w:rsid w:val="003B63AE"/>
    <w:rsid w:val="003B6C96"/>
    <w:rsid w:val="003C20AB"/>
    <w:rsid w:val="003C39B3"/>
    <w:rsid w:val="003C3CAD"/>
    <w:rsid w:val="003D6E3F"/>
    <w:rsid w:val="003F0DC9"/>
    <w:rsid w:val="00400641"/>
    <w:rsid w:val="00401D07"/>
    <w:rsid w:val="0040543A"/>
    <w:rsid w:val="00406395"/>
    <w:rsid w:val="0041143B"/>
    <w:rsid w:val="0041631E"/>
    <w:rsid w:val="00416F3E"/>
    <w:rsid w:val="00422DE6"/>
    <w:rsid w:val="004245F9"/>
    <w:rsid w:val="0042461F"/>
    <w:rsid w:val="00425718"/>
    <w:rsid w:val="00427D5C"/>
    <w:rsid w:val="00433F5D"/>
    <w:rsid w:val="0043510D"/>
    <w:rsid w:val="00447A0D"/>
    <w:rsid w:val="00467504"/>
    <w:rsid w:val="00480012"/>
    <w:rsid w:val="00480A20"/>
    <w:rsid w:val="004B1638"/>
    <w:rsid w:val="004C2AB8"/>
    <w:rsid w:val="004C5962"/>
    <w:rsid w:val="004D0BD1"/>
    <w:rsid w:val="004D3E05"/>
    <w:rsid w:val="004D4CFA"/>
    <w:rsid w:val="004D60BE"/>
    <w:rsid w:val="004E109B"/>
    <w:rsid w:val="004E2E37"/>
    <w:rsid w:val="004E64C3"/>
    <w:rsid w:val="004F0467"/>
    <w:rsid w:val="004F3C5D"/>
    <w:rsid w:val="004F7C82"/>
    <w:rsid w:val="0050097E"/>
    <w:rsid w:val="00503410"/>
    <w:rsid w:val="00511D47"/>
    <w:rsid w:val="0051301F"/>
    <w:rsid w:val="00513965"/>
    <w:rsid w:val="00514D38"/>
    <w:rsid w:val="005204CE"/>
    <w:rsid w:val="005276EC"/>
    <w:rsid w:val="0053708E"/>
    <w:rsid w:val="005434F1"/>
    <w:rsid w:val="00547113"/>
    <w:rsid w:val="00554E71"/>
    <w:rsid w:val="00555936"/>
    <w:rsid w:val="005567EB"/>
    <w:rsid w:val="005576FF"/>
    <w:rsid w:val="00557AAD"/>
    <w:rsid w:val="00563EB5"/>
    <w:rsid w:val="005663A5"/>
    <w:rsid w:val="00566EBC"/>
    <w:rsid w:val="00570760"/>
    <w:rsid w:val="0058667A"/>
    <w:rsid w:val="00596C6A"/>
    <w:rsid w:val="005979D2"/>
    <w:rsid w:val="005A7581"/>
    <w:rsid w:val="005A79D6"/>
    <w:rsid w:val="005B1C04"/>
    <w:rsid w:val="005B2AC6"/>
    <w:rsid w:val="005B4536"/>
    <w:rsid w:val="005C037E"/>
    <w:rsid w:val="005D0014"/>
    <w:rsid w:val="005D2A30"/>
    <w:rsid w:val="005D3257"/>
    <w:rsid w:val="005D44C6"/>
    <w:rsid w:val="005E1556"/>
    <w:rsid w:val="005E36AA"/>
    <w:rsid w:val="005E6786"/>
    <w:rsid w:val="005E762C"/>
    <w:rsid w:val="005F73C0"/>
    <w:rsid w:val="005F7B93"/>
    <w:rsid w:val="00602C4D"/>
    <w:rsid w:val="00603BE5"/>
    <w:rsid w:val="006054F9"/>
    <w:rsid w:val="006055A0"/>
    <w:rsid w:val="0060741D"/>
    <w:rsid w:val="00610253"/>
    <w:rsid w:val="006131FB"/>
    <w:rsid w:val="006137C7"/>
    <w:rsid w:val="00613F90"/>
    <w:rsid w:val="00620BA3"/>
    <w:rsid w:val="006236E4"/>
    <w:rsid w:val="00624B56"/>
    <w:rsid w:val="006251D4"/>
    <w:rsid w:val="006339EF"/>
    <w:rsid w:val="00642D6C"/>
    <w:rsid w:val="00645D46"/>
    <w:rsid w:val="00651F5E"/>
    <w:rsid w:val="00655515"/>
    <w:rsid w:val="006654F0"/>
    <w:rsid w:val="00667CB3"/>
    <w:rsid w:val="006733EE"/>
    <w:rsid w:val="00684D75"/>
    <w:rsid w:val="0069021F"/>
    <w:rsid w:val="006930A6"/>
    <w:rsid w:val="006971C0"/>
    <w:rsid w:val="006A009D"/>
    <w:rsid w:val="006A0832"/>
    <w:rsid w:val="006A0A10"/>
    <w:rsid w:val="006A2386"/>
    <w:rsid w:val="006A618B"/>
    <w:rsid w:val="006B2846"/>
    <w:rsid w:val="006B3F87"/>
    <w:rsid w:val="006B50EE"/>
    <w:rsid w:val="006B52CE"/>
    <w:rsid w:val="006B63FA"/>
    <w:rsid w:val="006C185D"/>
    <w:rsid w:val="006C2519"/>
    <w:rsid w:val="006D68D6"/>
    <w:rsid w:val="006E0FDA"/>
    <w:rsid w:val="006E6AC0"/>
    <w:rsid w:val="006E763C"/>
    <w:rsid w:val="006F3702"/>
    <w:rsid w:val="006F4EA0"/>
    <w:rsid w:val="006F5CA4"/>
    <w:rsid w:val="006F7000"/>
    <w:rsid w:val="007057D7"/>
    <w:rsid w:val="00705FCC"/>
    <w:rsid w:val="00710F26"/>
    <w:rsid w:val="00722E4E"/>
    <w:rsid w:val="007248B7"/>
    <w:rsid w:val="00727B98"/>
    <w:rsid w:val="00740197"/>
    <w:rsid w:val="007425D6"/>
    <w:rsid w:val="0074494A"/>
    <w:rsid w:val="00745B79"/>
    <w:rsid w:val="0074698C"/>
    <w:rsid w:val="007516FF"/>
    <w:rsid w:val="00756D0F"/>
    <w:rsid w:val="00756D9D"/>
    <w:rsid w:val="0075778F"/>
    <w:rsid w:val="00760D7C"/>
    <w:rsid w:val="00763968"/>
    <w:rsid w:val="007640EB"/>
    <w:rsid w:val="00764E7A"/>
    <w:rsid w:val="00765FD2"/>
    <w:rsid w:val="00766123"/>
    <w:rsid w:val="00767A1D"/>
    <w:rsid w:val="0077131D"/>
    <w:rsid w:val="0078573C"/>
    <w:rsid w:val="007956D0"/>
    <w:rsid w:val="00795F6A"/>
    <w:rsid w:val="007A4FEC"/>
    <w:rsid w:val="007A6701"/>
    <w:rsid w:val="007B25A5"/>
    <w:rsid w:val="007B53B0"/>
    <w:rsid w:val="007B6796"/>
    <w:rsid w:val="007C4387"/>
    <w:rsid w:val="007D329B"/>
    <w:rsid w:val="007D7949"/>
    <w:rsid w:val="007E7345"/>
    <w:rsid w:val="007F4B88"/>
    <w:rsid w:val="007F74D8"/>
    <w:rsid w:val="007F7DB5"/>
    <w:rsid w:val="008005A5"/>
    <w:rsid w:val="00801DE5"/>
    <w:rsid w:val="00802E2A"/>
    <w:rsid w:val="008043E2"/>
    <w:rsid w:val="00805376"/>
    <w:rsid w:val="00805914"/>
    <w:rsid w:val="00811FCA"/>
    <w:rsid w:val="00816DBA"/>
    <w:rsid w:val="00821F85"/>
    <w:rsid w:val="0082277D"/>
    <w:rsid w:val="00826CA1"/>
    <w:rsid w:val="00830981"/>
    <w:rsid w:val="00832E7A"/>
    <w:rsid w:val="00834830"/>
    <w:rsid w:val="00834E69"/>
    <w:rsid w:val="00834EEA"/>
    <w:rsid w:val="00835B1C"/>
    <w:rsid w:val="008361E1"/>
    <w:rsid w:val="0084073B"/>
    <w:rsid w:val="008434FA"/>
    <w:rsid w:val="008444CF"/>
    <w:rsid w:val="00844A68"/>
    <w:rsid w:val="00844ADF"/>
    <w:rsid w:val="00854985"/>
    <w:rsid w:val="00862D3E"/>
    <w:rsid w:val="00863136"/>
    <w:rsid w:val="008633D8"/>
    <w:rsid w:val="0086353E"/>
    <w:rsid w:val="00877CE4"/>
    <w:rsid w:val="008806E6"/>
    <w:rsid w:val="00881670"/>
    <w:rsid w:val="00884370"/>
    <w:rsid w:val="00885790"/>
    <w:rsid w:val="00892F2E"/>
    <w:rsid w:val="00892F8A"/>
    <w:rsid w:val="008964EA"/>
    <w:rsid w:val="008A21D8"/>
    <w:rsid w:val="008A47DE"/>
    <w:rsid w:val="008A69BE"/>
    <w:rsid w:val="008A75C9"/>
    <w:rsid w:val="008B0847"/>
    <w:rsid w:val="008B2A0D"/>
    <w:rsid w:val="008B2B8D"/>
    <w:rsid w:val="008B4223"/>
    <w:rsid w:val="008B4E77"/>
    <w:rsid w:val="008C5DE0"/>
    <w:rsid w:val="008D2C51"/>
    <w:rsid w:val="008E05E9"/>
    <w:rsid w:val="008E356D"/>
    <w:rsid w:val="008E6F9D"/>
    <w:rsid w:val="008F2696"/>
    <w:rsid w:val="008F64F4"/>
    <w:rsid w:val="008F6FE1"/>
    <w:rsid w:val="00900B64"/>
    <w:rsid w:val="009011E4"/>
    <w:rsid w:val="00903033"/>
    <w:rsid w:val="009038E5"/>
    <w:rsid w:val="00905CDD"/>
    <w:rsid w:val="00906058"/>
    <w:rsid w:val="009101BE"/>
    <w:rsid w:val="009164F8"/>
    <w:rsid w:val="00917DA0"/>
    <w:rsid w:val="00920BF8"/>
    <w:rsid w:val="009272B8"/>
    <w:rsid w:val="00936741"/>
    <w:rsid w:val="0093799E"/>
    <w:rsid w:val="009418BE"/>
    <w:rsid w:val="009469DF"/>
    <w:rsid w:val="009509A8"/>
    <w:rsid w:val="00951AFE"/>
    <w:rsid w:val="009528B4"/>
    <w:rsid w:val="00957F64"/>
    <w:rsid w:val="0096068A"/>
    <w:rsid w:val="00962FAE"/>
    <w:rsid w:val="009657CE"/>
    <w:rsid w:val="00971C6C"/>
    <w:rsid w:val="00971E6D"/>
    <w:rsid w:val="00975F9D"/>
    <w:rsid w:val="00984F02"/>
    <w:rsid w:val="00987855"/>
    <w:rsid w:val="00990A4E"/>
    <w:rsid w:val="00990DFF"/>
    <w:rsid w:val="009914AD"/>
    <w:rsid w:val="009A0CD0"/>
    <w:rsid w:val="009B467A"/>
    <w:rsid w:val="009B482C"/>
    <w:rsid w:val="009E38A6"/>
    <w:rsid w:val="009E57FC"/>
    <w:rsid w:val="009F2328"/>
    <w:rsid w:val="009F485A"/>
    <w:rsid w:val="00A003B2"/>
    <w:rsid w:val="00A007BC"/>
    <w:rsid w:val="00A01469"/>
    <w:rsid w:val="00A05343"/>
    <w:rsid w:val="00A1361E"/>
    <w:rsid w:val="00A35600"/>
    <w:rsid w:val="00A35DAD"/>
    <w:rsid w:val="00A369F5"/>
    <w:rsid w:val="00A461CF"/>
    <w:rsid w:val="00A52568"/>
    <w:rsid w:val="00A5317C"/>
    <w:rsid w:val="00A63A55"/>
    <w:rsid w:val="00A841B8"/>
    <w:rsid w:val="00A863F4"/>
    <w:rsid w:val="00A91208"/>
    <w:rsid w:val="00A912D0"/>
    <w:rsid w:val="00A92497"/>
    <w:rsid w:val="00A924B4"/>
    <w:rsid w:val="00A9371A"/>
    <w:rsid w:val="00AA0EAD"/>
    <w:rsid w:val="00AB0B3D"/>
    <w:rsid w:val="00AB29B1"/>
    <w:rsid w:val="00AB65A2"/>
    <w:rsid w:val="00AB6709"/>
    <w:rsid w:val="00AC07FC"/>
    <w:rsid w:val="00AC59BA"/>
    <w:rsid w:val="00AC7DFA"/>
    <w:rsid w:val="00AD024F"/>
    <w:rsid w:val="00AD3323"/>
    <w:rsid w:val="00AD5502"/>
    <w:rsid w:val="00AD61C6"/>
    <w:rsid w:val="00AE4427"/>
    <w:rsid w:val="00AE6792"/>
    <w:rsid w:val="00AE67F8"/>
    <w:rsid w:val="00AE7E03"/>
    <w:rsid w:val="00AF7C9B"/>
    <w:rsid w:val="00B0428B"/>
    <w:rsid w:val="00B144B3"/>
    <w:rsid w:val="00B17F10"/>
    <w:rsid w:val="00B2268D"/>
    <w:rsid w:val="00B311B1"/>
    <w:rsid w:val="00B33F36"/>
    <w:rsid w:val="00B4288E"/>
    <w:rsid w:val="00B47160"/>
    <w:rsid w:val="00B56BB4"/>
    <w:rsid w:val="00B57F77"/>
    <w:rsid w:val="00B65E9A"/>
    <w:rsid w:val="00B76921"/>
    <w:rsid w:val="00B84EB6"/>
    <w:rsid w:val="00B86324"/>
    <w:rsid w:val="00B87C97"/>
    <w:rsid w:val="00B911CD"/>
    <w:rsid w:val="00B91A7C"/>
    <w:rsid w:val="00B94866"/>
    <w:rsid w:val="00B9766A"/>
    <w:rsid w:val="00BA162C"/>
    <w:rsid w:val="00BA3A4C"/>
    <w:rsid w:val="00BA5238"/>
    <w:rsid w:val="00BB27DB"/>
    <w:rsid w:val="00BB42D1"/>
    <w:rsid w:val="00BB6C4C"/>
    <w:rsid w:val="00BB7A79"/>
    <w:rsid w:val="00BC10F9"/>
    <w:rsid w:val="00BC2875"/>
    <w:rsid w:val="00BC42CD"/>
    <w:rsid w:val="00BD1F99"/>
    <w:rsid w:val="00BD594C"/>
    <w:rsid w:val="00BE463E"/>
    <w:rsid w:val="00BF1FFF"/>
    <w:rsid w:val="00BF6625"/>
    <w:rsid w:val="00C0033D"/>
    <w:rsid w:val="00C00B7C"/>
    <w:rsid w:val="00C054A6"/>
    <w:rsid w:val="00C11ABC"/>
    <w:rsid w:val="00C307E0"/>
    <w:rsid w:val="00C36D9C"/>
    <w:rsid w:val="00C40571"/>
    <w:rsid w:val="00C431B1"/>
    <w:rsid w:val="00C43F52"/>
    <w:rsid w:val="00C5280F"/>
    <w:rsid w:val="00C53805"/>
    <w:rsid w:val="00C57EAC"/>
    <w:rsid w:val="00C61DAB"/>
    <w:rsid w:val="00C64677"/>
    <w:rsid w:val="00C7318A"/>
    <w:rsid w:val="00C74EC8"/>
    <w:rsid w:val="00C753AD"/>
    <w:rsid w:val="00C927EB"/>
    <w:rsid w:val="00C92963"/>
    <w:rsid w:val="00C978F5"/>
    <w:rsid w:val="00CA0416"/>
    <w:rsid w:val="00CA0E15"/>
    <w:rsid w:val="00CA3386"/>
    <w:rsid w:val="00CB2E14"/>
    <w:rsid w:val="00CB2E6D"/>
    <w:rsid w:val="00CC12E1"/>
    <w:rsid w:val="00CC2089"/>
    <w:rsid w:val="00CC2ED8"/>
    <w:rsid w:val="00CC504E"/>
    <w:rsid w:val="00CC6FCC"/>
    <w:rsid w:val="00CC77DC"/>
    <w:rsid w:val="00CD372E"/>
    <w:rsid w:val="00CD62C7"/>
    <w:rsid w:val="00CF360C"/>
    <w:rsid w:val="00D12017"/>
    <w:rsid w:val="00D1262A"/>
    <w:rsid w:val="00D14D42"/>
    <w:rsid w:val="00D156C0"/>
    <w:rsid w:val="00D17366"/>
    <w:rsid w:val="00D2214C"/>
    <w:rsid w:val="00D3275F"/>
    <w:rsid w:val="00D327E8"/>
    <w:rsid w:val="00D33155"/>
    <w:rsid w:val="00D375AA"/>
    <w:rsid w:val="00D46AA9"/>
    <w:rsid w:val="00D62A81"/>
    <w:rsid w:val="00D65939"/>
    <w:rsid w:val="00D7374C"/>
    <w:rsid w:val="00D8043B"/>
    <w:rsid w:val="00D923DC"/>
    <w:rsid w:val="00D95C6D"/>
    <w:rsid w:val="00DA28FC"/>
    <w:rsid w:val="00DA50AC"/>
    <w:rsid w:val="00DA5D44"/>
    <w:rsid w:val="00DA5DC9"/>
    <w:rsid w:val="00DA774C"/>
    <w:rsid w:val="00DA7944"/>
    <w:rsid w:val="00DB00CD"/>
    <w:rsid w:val="00DB0637"/>
    <w:rsid w:val="00DB290A"/>
    <w:rsid w:val="00DB391B"/>
    <w:rsid w:val="00DD6A3F"/>
    <w:rsid w:val="00DE10B4"/>
    <w:rsid w:val="00DE1AB3"/>
    <w:rsid w:val="00DE1AEF"/>
    <w:rsid w:val="00DE3FE8"/>
    <w:rsid w:val="00DE63B5"/>
    <w:rsid w:val="00DE689A"/>
    <w:rsid w:val="00DE778D"/>
    <w:rsid w:val="00DF3B10"/>
    <w:rsid w:val="00E105EF"/>
    <w:rsid w:val="00E1240D"/>
    <w:rsid w:val="00E124E9"/>
    <w:rsid w:val="00E151F7"/>
    <w:rsid w:val="00E179D4"/>
    <w:rsid w:val="00E20EA8"/>
    <w:rsid w:val="00E25796"/>
    <w:rsid w:val="00E26AD5"/>
    <w:rsid w:val="00E33B50"/>
    <w:rsid w:val="00E3648E"/>
    <w:rsid w:val="00E430FC"/>
    <w:rsid w:val="00E438A7"/>
    <w:rsid w:val="00E44B45"/>
    <w:rsid w:val="00E52AFF"/>
    <w:rsid w:val="00E53723"/>
    <w:rsid w:val="00E55184"/>
    <w:rsid w:val="00E5525E"/>
    <w:rsid w:val="00E55453"/>
    <w:rsid w:val="00E56EB6"/>
    <w:rsid w:val="00E571F6"/>
    <w:rsid w:val="00E60FB1"/>
    <w:rsid w:val="00E61D6B"/>
    <w:rsid w:val="00E87387"/>
    <w:rsid w:val="00EB138C"/>
    <w:rsid w:val="00EB3F76"/>
    <w:rsid w:val="00EB5F6F"/>
    <w:rsid w:val="00EC1BFB"/>
    <w:rsid w:val="00EC39BF"/>
    <w:rsid w:val="00ED6001"/>
    <w:rsid w:val="00EE03EF"/>
    <w:rsid w:val="00EE50D2"/>
    <w:rsid w:val="00EF5D8C"/>
    <w:rsid w:val="00EF6046"/>
    <w:rsid w:val="00F01CBD"/>
    <w:rsid w:val="00F050BC"/>
    <w:rsid w:val="00F07411"/>
    <w:rsid w:val="00F07980"/>
    <w:rsid w:val="00F11670"/>
    <w:rsid w:val="00F207EA"/>
    <w:rsid w:val="00F30870"/>
    <w:rsid w:val="00F348A8"/>
    <w:rsid w:val="00F3492C"/>
    <w:rsid w:val="00F35756"/>
    <w:rsid w:val="00F361B8"/>
    <w:rsid w:val="00F438CF"/>
    <w:rsid w:val="00F46C31"/>
    <w:rsid w:val="00F471D1"/>
    <w:rsid w:val="00F551D6"/>
    <w:rsid w:val="00F55AAB"/>
    <w:rsid w:val="00F56C3B"/>
    <w:rsid w:val="00F6694B"/>
    <w:rsid w:val="00F716FF"/>
    <w:rsid w:val="00F74EAF"/>
    <w:rsid w:val="00F75D59"/>
    <w:rsid w:val="00F8428C"/>
    <w:rsid w:val="00F845EB"/>
    <w:rsid w:val="00F8657B"/>
    <w:rsid w:val="00F87BBF"/>
    <w:rsid w:val="00F91199"/>
    <w:rsid w:val="00F940ED"/>
    <w:rsid w:val="00F96987"/>
    <w:rsid w:val="00FA16AE"/>
    <w:rsid w:val="00FA3A12"/>
    <w:rsid w:val="00FA5AB9"/>
    <w:rsid w:val="00FA6DEC"/>
    <w:rsid w:val="00FB1363"/>
    <w:rsid w:val="00FB2263"/>
    <w:rsid w:val="00FB333F"/>
    <w:rsid w:val="00FB4FAC"/>
    <w:rsid w:val="00FB5237"/>
    <w:rsid w:val="00FC1008"/>
    <w:rsid w:val="00FC2DA1"/>
    <w:rsid w:val="00FC4554"/>
    <w:rsid w:val="00FC6815"/>
    <w:rsid w:val="00FC74F6"/>
    <w:rsid w:val="00FD1DF0"/>
    <w:rsid w:val="00FD2B36"/>
    <w:rsid w:val="00FE0972"/>
    <w:rsid w:val="00FE5389"/>
    <w:rsid w:val="00FF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626F3D"/>
  <w15:docId w15:val="{682D9F68-A1B8-4D6C-BE99-69E67F2AE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B53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727B98"/>
    <w:pPr>
      <w:keepNext/>
      <w:spacing w:before="360"/>
      <w:jc w:val="both"/>
      <w:outlineLvl w:val="1"/>
    </w:pPr>
    <w:rPr>
      <w:rFonts w:ascii="Arial" w:hAnsi="Arial" w:cs="Arial"/>
      <w:b/>
      <w:bCs/>
      <w:i/>
      <w:iCs/>
      <w:color w:val="336699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5D2A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D2A3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4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727B98"/>
    <w:rPr>
      <w:rFonts w:ascii="Arial" w:hAnsi="Arial" w:cs="Arial"/>
      <w:b/>
      <w:bCs/>
      <w:i/>
      <w:iCs/>
      <w:color w:val="336699"/>
      <w:sz w:val="24"/>
      <w:szCs w:val="28"/>
      <w:lang w:eastAsia="en-US"/>
    </w:rPr>
  </w:style>
  <w:style w:type="paragraph" w:customStyle="1" w:styleId="style1">
    <w:name w:val="style1"/>
    <w:basedOn w:val="Normal"/>
    <w:uiPriority w:val="99"/>
    <w:rsid w:val="00F348A8"/>
    <w:pPr>
      <w:spacing w:before="100" w:beforeAutospacing="1" w:after="100" w:afterAutospacing="1"/>
    </w:pPr>
    <w:rPr>
      <w:rFonts w:ascii="Arial" w:hAnsi="Arial" w:cs="Arial"/>
    </w:rPr>
  </w:style>
  <w:style w:type="character" w:styleId="Strong">
    <w:name w:val="Strong"/>
    <w:qFormat/>
    <w:rsid w:val="00F348A8"/>
    <w:rPr>
      <w:b/>
      <w:bCs/>
    </w:rPr>
  </w:style>
  <w:style w:type="paragraph" w:styleId="BalloonText">
    <w:name w:val="Balloon Text"/>
    <w:basedOn w:val="Normal"/>
    <w:link w:val="BalloonTextChar"/>
    <w:rsid w:val="00AD02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D024F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C11ABC"/>
    <w:rPr>
      <w:color w:val="0000FF"/>
      <w:u w:val="single"/>
    </w:rPr>
  </w:style>
  <w:style w:type="paragraph" w:customStyle="1" w:styleId="DocumentTitle">
    <w:name w:val="Document Title"/>
    <w:basedOn w:val="Normal"/>
    <w:rsid w:val="00642D6C"/>
    <w:pPr>
      <w:suppressAutoHyphens/>
      <w:spacing w:after="240"/>
      <w:jc w:val="center"/>
    </w:pPr>
    <w:rPr>
      <w:rFonts w:ascii="Arial" w:hAnsi="Arial" w:cs="Arial"/>
      <w:b/>
      <w:bCs/>
      <w:caps/>
      <w:color w:val="000080"/>
      <w:sz w:val="44"/>
      <w:szCs w:val="44"/>
      <w:lang w:val="de-DE" w:eastAsia="ar-SA"/>
    </w:rPr>
  </w:style>
  <w:style w:type="paragraph" w:styleId="FootnoteText">
    <w:name w:val="footnote text"/>
    <w:basedOn w:val="Normal"/>
    <w:link w:val="FootnoteTextChar"/>
    <w:rsid w:val="000B279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B2790"/>
  </w:style>
  <w:style w:type="character" w:styleId="FootnoteReference">
    <w:name w:val="footnote reference"/>
    <w:rsid w:val="000B2790"/>
    <w:rPr>
      <w:vertAlign w:val="superscript"/>
    </w:rPr>
  </w:style>
  <w:style w:type="character" w:styleId="FollowedHyperlink">
    <w:name w:val="FollowedHyperlink"/>
    <w:basedOn w:val="DefaultParagraphFont"/>
    <w:rsid w:val="007E734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8633D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633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633D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33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633D8"/>
    <w:rPr>
      <w:b/>
      <w:bCs/>
    </w:rPr>
  </w:style>
  <w:style w:type="paragraph" w:styleId="Header">
    <w:name w:val="header"/>
    <w:basedOn w:val="Normal"/>
    <w:link w:val="HeaderChar"/>
    <w:unhideWhenUsed/>
    <w:rsid w:val="00A63A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63A55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63A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63A55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F0D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F0DC9"/>
    <w:rPr>
      <w:rFonts w:ascii="Courier New" w:hAnsi="Courier New" w:cs="Courier New"/>
      <w:lang w:val="it-IT" w:eastAsia="it-IT"/>
    </w:rPr>
  </w:style>
  <w:style w:type="character" w:customStyle="1" w:styleId="y2iqfc">
    <w:name w:val="y2iqfc"/>
    <w:basedOn w:val="DefaultParagraphFont"/>
    <w:rsid w:val="003F0DC9"/>
  </w:style>
  <w:style w:type="character" w:customStyle="1" w:styleId="Heading1Char">
    <w:name w:val="Heading 1 Char"/>
    <w:basedOn w:val="DefaultParagraphFont"/>
    <w:link w:val="Heading1"/>
    <w:rsid w:val="007B53B0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F2696"/>
    <w:rPr>
      <w:rFonts w:ascii="Calibri" w:eastAsiaTheme="minorHAnsi" w:hAnsi="Calibri" w:cstheme="minorBidi"/>
      <w:sz w:val="22"/>
      <w:szCs w:val="21"/>
      <w:lang w:val="it-IT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2696"/>
    <w:rPr>
      <w:rFonts w:ascii="Calibri" w:eastAsiaTheme="minorHAnsi" w:hAnsi="Calibri" w:cstheme="minorBidi"/>
      <w:sz w:val="22"/>
      <w:szCs w:val="21"/>
      <w:lang w:val="it-IT" w:eastAsia="en-US"/>
    </w:rPr>
  </w:style>
  <w:style w:type="paragraph" w:styleId="Revision">
    <w:name w:val="Revision"/>
    <w:hidden/>
    <w:uiPriority w:val="99"/>
    <w:semiHidden/>
    <w:rsid w:val="008043E2"/>
    <w:rPr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5317C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5D2A3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5D2A3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mw-headline">
    <w:name w:val="mw-headline"/>
    <w:basedOn w:val="DefaultParagraphFont"/>
    <w:rsid w:val="003729C4"/>
  </w:style>
  <w:style w:type="paragraph" w:styleId="NormalWeb">
    <w:name w:val="Normal (Web)"/>
    <w:basedOn w:val="Normal"/>
    <w:uiPriority w:val="99"/>
    <w:semiHidden/>
    <w:unhideWhenUsed/>
    <w:rsid w:val="003729C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2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n.wikipedia.org/wiki/Quantil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n.wikipedia.org/wiki/Quantile" TargetMode="External"/><Relationship Id="rId2" Type="http://schemas.openxmlformats.org/officeDocument/2006/relationships/hyperlink" Target="https://en.wikipedia.org/wiki/Quantile" TargetMode="External"/><Relationship Id="rId1" Type="http://schemas.openxmlformats.org/officeDocument/2006/relationships/hyperlink" Target="https://sdmx.org/wp-content/uploads/VTL-2.0-Reference-Manual-20180712-final.pdf%20%20" TargetMode="External"/><Relationship Id="rId4" Type="http://schemas.openxmlformats.org/officeDocument/2006/relationships/hyperlink" Target="https://sdmx.org/?page_id=4345%20-%20CodeListGuidel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3012B99E4419438C08F39A7BF2A3CA" ma:contentTypeVersion="0" ma:contentTypeDescription="Create a new document." ma:contentTypeScope="" ma:versionID="34e2d903a43615041b697f4e98ccfe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24fd2d4348e31d7b7bcc391e9da95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A8986-629F-4FAC-A540-5D0812ACA2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E4E5D3-764F-48D6-A593-3E26937D1B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AB3168-BE8E-40B4-A166-90B8462C7EC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C7AD33D-36F2-4B72-B67A-7289A8E4E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1246</Words>
  <Characters>6667</Characters>
  <Application>Microsoft Office Word</Application>
  <DocSecurity>4</DocSecurity>
  <Lines>303</Lines>
  <Paragraphs>272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CL_SEX</vt:lpstr>
      <vt:lpstr>CL_SEX</vt:lpstr>
    </vt:vector>
  </TitlesOfParts>
  <Company>European Commission</Company>
  <LinksUpToDate>false</LinksUpToDate>
  <CharactersWithSpaces>7641</CharactersWithSpaces>
  <SharedDoc>false</SharedDoc>
  <HLinks>
    <vt:vector size="6" baseType="variant">
      <vt:variant>
        <vt:i4>4587549</vt:i4>
      </vt:variant>
      <vt:variant>
        <vt:i4>0</vt:i4>
      </vt:variant>
      <vt:variant>
        <vt:i4>0</vt:i4>
      </vt:variant>
      <vt:variant>
        <vt:i4>5</vt:i4>
      </vt:variant>
      <vt:variant>
        <vt:lpwstr>http://sdmx.org/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CL_SEX</dc:title>
  <dc:creator>delcada</dc:creator>
  <cp:lastModifiedBy>MORENTE-ORIA Fernando (ESTAT-EXT)</cp:lastModifiedBy>
  <cp:revision>2</cp:revision>
  <dcterms:created xsi:type="dcterms:W3CDTF">2023-07-07T12:50:00Z</dcterms:created>
  <dcterms:modified xsi:type="dcterms:W3CDTF">2023-07-07T12:50:00Z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0x0101003B3012B99E4419438C08F39A7BF2A3CA</vt:lpwstr>
  </property>
</Properties>
</file>