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1BCA" w14:textId="77777777" w:rsidR="00FE4890" w:rsidRDefault="00772363" w:rsidP="00FE4890">
      <w:pPr>
        <w:spacing w:before="720" w:after="120"/>
        <w:jc w:val="center"/>
        <w:rPr>
          <w:noProof/>
        </w:rPr>
      </w:pPr>
      <w:r>
        <w:rPr>
          <w:noProof/>
          <w:lang w:val="fr-BE" w:eastAsia="fr-BE"/>
        </w:rPr>
        <w:drawing>
          <wp:inline distT="0" distB="0" distL="0" distR="0" wp14:anchorId="4582D225" wp14:editId="46C4AAC9">
            <wp:extent cx="1343660" cy="540385"/>
            <wp:effectExtent l="0" t="0" r="0" b="0"/>
            <wp:docPr id="1" name="Picture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9060D" w14:textId="77777777" w:rsidR="00FE4890" w:rsidRPr="00772363" w:rsidRDefault="00FE4890" w:rsidP="008419DC">
      <w:pPr>
        <w:spacing w:after="720"/>
        <w:jc w:val="center"/>
        <w:rPr>
          <w:b/>
          <w:noProof/>
          <w:color w:val="000000" w:themeColor="text1"/>
        </w:rPr>
      </w:pPr>
      <w:r w:rsidRPr="00772363">
        <w:rPr>
          <w:b/>
          <w:color w:val="000000" w:themeColor="text1"/>
          <w:sz w:val="28"/>
          <w:szCs w:val="28"/>
        </w:rPr>
        <w:t>SDMX STATISTICAL GUIDELINES</w:t>
      </w:r>
      <w:r w:rsidRPr="00772363">
        <w:rPr>
          <w:b/>
          <w:noProof/>
          <w:color w:val="000000" w:themeColor="text1"/>
        </w:rPr>
        <w:t xml:space="preserve"> </w:t>
      </w:r>
    </w:p>
    <w:p w14:paraId="0BE9E955" w14:textId="77777777" w:rsidR="008419DC" w:rsidRDefault="008419DC" w:rsidP="008419DC">
      <w:pPr>
        <w:tabs>
          <w:tab w:val="right" w:leader="underscore" w:pos="8280"/>
        </w:tabs>
        <w:jc w:val="both"/>
      </w:pPr>
      <w:r>
        <w:tab/>
      </w:r>
    </w:p>
    <w:p w14:paraId="1CB37516" w14:textId="0BA6F17B" w:rsidR="008419DC" w:rsidRPr="00255DB4" w:rsidRDefault="00772363" w:rsidP="00772363">
      <w:pPr>
        <w:pStyle w:val="Title"/>
        <w:rPr>
          <w:rFonts w:ascii="Times New Roman" w:hAnsi="Times New Roman" w:cs="Times New Roman"/>
          <w:color w:val="000000" w:themeColor="text1"/>
          <w:sz w:val="36"/>
        </w:rPr>
      </w:pPr>
      <w:r w:rsidRPr="00255DB4">
        <w:rPr>
          <w:rFonts w:ascii="Times New Roman" w:hAnsi="Times New Roman" w:cs="Times New Roman"/>
          <w:color w:val="000000" w:themeColor="text1"/>
          <w:sz w:val="36"/>
        </w:rPr>
        <w:t xml:space="preserve">GUIDELINES FOR </w:t>
      </w:r>
      <w:r w:rsidR="00D13438">
        <w:rPr>
          <w:rFonts w:ascii="Times New Roman" w:hAnsi="Times New Roman" w:cs="Times New Roman"/>
          <w:color w:val="000000" w:themeColor="text1"/>
          <w:sz w:val="36"/>
        </w:rPr>
        <w:br/>
      </w:r>
      <w:r w:rsidR="00205137" w:rsidRPr="00255DB4">
        <w:rPr>
          <w:rFonts w:ascii="Times New Roman" w:hAnsi="Times New Roman" w:cs="Times New Roman"/>
          <w:color w:val="000000" w:themeColor="text1"/>
          <w:sz w:val="36"/>
        </w:rPr>
        <w:t>CONFIDENTIALITY AND EMBARGO IN SDMX</w:t>
      </w:r>
    </w:p>
    <w:p w14:paraId="2B9F91C7" w14:textId="672373BE" w:rsidR="00772363" w:rsidRPr="00255DB4" w:rsidRDefault="0004110F" w:rsidP="00772363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255DB4">
        <w:rPr>
          <w:rFonts w:ascii="Times New Roman" w:hAnsi="Times New Roman" w:cs="Times New Roman"/>
          <w:sz w:val="28"/>
          <w:szCs w:val="28"/>
        </w:rPr>
        <w:t xml:space="preserve">Version 2.0 - </w:t>
      </w:r>
      <w:r w:rsidR="00FC08A6" w:rsidRPr="00255DB4">
        <w:rPr>
          <w:rFonts w:ascii="Times New Roman" w:hAnsi="Times New Roman" w:cs="Times New Roman"/>
          <w:sz w:val="28"/>
          <w:szCs w:val="28"/>
        </w:rPr>
        <w:t>1</w:t>
      </w:r>
      <w:r w:rsidR="007E3BE3">
        <w:rPr>
          <w:rFonts w:ascii="Times New Roman" w:hAnsi="Times New Roman" w:cs="Times New Roman"/>
          <w:sz w:val="28"/>
          <w:szCs w:val="28"/>
        </w:rPr>
        <w:t>9</w:t>
      </w:r>
      <w:r w:rsidR="00FC08A6" w:rsidRPr="00255DB4">
        <w:rPr>
          <w:rFonts w:ascii="Times New Roman" w:hAnsi="Times New Roman" w:cs="Times New Roman"/>
          <w:sz w:val="28"/>
          <w:szCs w:val="28"/>
        </w:rPr>
        <w:t xml:space="preserve"> </w:t>
      </w:r>
      <w:r w:rsidRPr="00255DB4">
        <w:rPr>
          <w:rFonts w:ascii="Times New Roman" w:hAnsi="Times New Roman" w:cs="Times New Roman"/>
          <w:sz w:val="28"/>
          <w:szCs w:val="28"/>
        </w:rPr>
        <w:t>January</w:t>
      </w:r>
      <w:r w:rsidR="00FC08A6" w:rsidRPr="00255DB4">
        <w:rPr>
          <w:rFonts w:ascii="Times New Roman" w:hAnsi="Times New Roman" w:cs="Times New Roman"/>
          <w:sz w:val="28"/>
          <w:szCs w:val="28"/>
        </w:rPr>
        <w:t xml:space="preserve"> </w:t>
      </w:r>
      <w:r w:rsidR="00772363" w:rsidRPr="00255DB4">
        <w:rPr>
          <w:rFonts w:ascii="Times New Roman" w:hAnsi="Times New Roman" w:cs="Times New Roman"/>
          <w:sz w:val="28"/>
          <w:szCs w:val="28"/>
        </w:rPr>
        <w:t>201</w:t>
      </w:r>
      <w:r w:rsidRPr="00255DB4">
        <w:rPr>
          <w:rFonts w:ascii="Times New Roman" w:hAnsi="Times New Roman" w:cs="Times New Roman"/>
          <w:sz w:val="28"/>
          <w:szCs w:val="28"/>
        </w:rPr>
        <w:t>8</w:t>
      </w:r>
    </w:p>
    <w:p w14:paraId="23A84F65" w14:textId="77777777" w:rsidR="005C5859" w:rsidRDefault="008419DC" w:rsidP="008419DC">
      <w:pPr>
        <w:tabs>
          <w:tab w:val="right" w:leader="underscore" w:pos="8280"/>
        </w:tabs>
        <w:spacing w:after="360"/>
        <w:jc w:val="both"/>
      </w:pPr>
      <w:r>
        <w:tab/>
      </w:r>
    </w:p>
    <w:p w14:paraId="3154DCE7" w14:textId="4283E23B" w:rsidR="00D079B8" w:rsidRPr="00D13438" w:rsidRDefault="00E705EB" w:rsidP="001F06B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Document</w:t>
      </w:r>
      <w:r w:rsidR="00D13438">
        <w:rPr>
          <w:rFonts w:ascii="Times New Roman" w:hAnsi="Times New Roman"/>
        </w:rPr>
        <w:t xml:space="preserve"> History</w:t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976"/>
        <w:gridCol w:w="1417"/>
        <w:gridCol w:w="5824"/>
      </w:tblGrid>
      <w:tr w:rsidR="00FC08A6" w14:paraId="7D6BF890" w14:textId="77777777" w:rsidTr="00C801DC">
        <w:tc>
          <w:tcPr>
            <w:tcW w:w="976" w:type="dxa"/>
          </w:tcPr>
          <w:p w14:paraId="7AB35D97" w14:textId="7BB3C6AE" w:rsidR="00FC08A6" w:rsidRDefault="00FC08A6" w:rsidP="00D079B8">
            <w:r>
              <w:t>Version</w:t>
            </w:r>
          </w:p>
        </w:tc>
        <w:tc>
          <w:tcPr>
            <w:tcW w:w="1417" w:type="dxa"/>
          </w:tcPr>
          <w:p w14:paraId="4E1A6B2C" w14:textId="730CFC41" w:rsidR="00FC08A6" w:rsidRDefault="00FC08A6" w:rsidP="00D079B8">
            <w:r>
              <w:t>Date</w:t>
            </w:r>
          </w:p>
        </w:tc>
        <w:tc>
          <w:tcPr>
            <w:tcW w:w="5824" w:type="dxa"/>
          </w:tcPr>
          <w:p w14:paraId="668E5551" w14:textId="71E9159B" w:rsidR="00FC08A6" w:rsidRDefault="00FC08A6" w:rsidP="00D079B8">
            <w:r>
              <w:t>Comment</w:t>
            </w:r>
          </w:p>
        </w:tc>
      </w:tr>
      <w:tr w:rsidR="00FC08A6" w14:paraId="2CA122DC" w14:textId="77777777" w:rsidTr="00C801DC">
        <w:tc>
          <w:tcPr>
            <w:tcW w:w="976" w:type="dxa"/>
          </w:tcPr>
          <w:p w14:paraId="29AB16F1" w14:textId="76ADF9DD" w:rsidR="00FC08A6" w:rsidRDefault="00FC08A6" w:rsidP="00D079B8">
            <w:r>
              <w:t>1.0</w:t>
            </w:r>
          </w:p>
        </w:tc>
        <w:tc>
          <w:tcPr>
            <w:tcW w:w="1417" w:type="dxa"/>
          </w:tcPr>
          <w:p w14:paraId="2E636136" w14:textId="6B919EC5" w:rsidR="00FC08A6" w:rsidRDefault="00FC08A6" w:rsidP="00D079B8">
            <w:r>
              <w:t>21/8/2015</w:t>
            </w:r>
          </w:p>
        </w:tc>
        <w:tc>
          <w:tcPr>
            <w:tcW w:w="5824" w:type="dxa"/>
          </w:tcPr>
          <w:p w14:paraId="239BD758" w14:textId="37901ADD" w:rsidR="00FC08A6" w:rsidRDefault="00FC08A6" w:rsidP="00D079B8">
            <w:r>
              <w:t>Initial version.</w:t>
            </w:r>
          </w:p>
        </w:tc>
      </w:tr>
      <w:tr w:rsidR="00FC08A6" w14:paraId="4EF1865F" w14:textId="77777777" w:rsidTr="00C801DC">
        <w:tc>
          <w:tcPr>
            <w:tcW w:w="976" w:type="dxa"/>
          </w:tcPr>
          <w:p w14:paraId="3CC32E3C" w14:textId="335AB05D" w:rsidR="00FC08A6" w:rsidRDefault="00FC08A6" w:rsidP="00D079B8">
            <w:r>
              <w:t>2.0</w:t>
            </w:r>
          </w:p>
        </w:tc>
        <w:tc>
          <w:tcPr>
            <w:tcW w:w="1417" w:type="dxa"/>
          </w:tcPr>
          <w:p w14:paraId="32614703" w14:textId="390DEF97" w:rsidR="00FC08A6" w:rsidRDefault="00123386" w:rsidP="007E3BE3">
            <w:r>
              <w:t>7</w:t>
            </w:r>
            <w:r w:rsidR="00FC08A6">
              <w:t>/</w:t>
            </w:r>
            <w:r>
              <w:t>3</w:t>
            </w:r>
            <w:r w:rsidR="00FC08A6">
              <w:t>/201</w:t>
            </w:r>
            <w:r w:rsidR="00255DB4">
              <w:t>8</w:t>
            </w:r>
          </w:p>
        </w:tc>
        <w:tc>
          <w:tcPr>
            <w:tcW w:w="5824" w:type="dxa"/>
          </w:tcPr>
          <w:p w14:paraId="789C1C38" w14:textId="1CB3A099" w:rsidR="00FC2892" w:rsidRPr="00FC2892" w:rsidRDefault="00FC2892" w:rsidP="00FC2892">
            <w:r w:rsidRPr="00FC2892">
              <w:t xml:space="preserve">Replaced the “Embargo: Privileged access” use case confidentiality status to use </w:t>
            </w:r>
            <w:proofErr w:type="spellStart"/>
            <w:r w:rsidRPr="00FC2892">
              <w:t>CONF_STATUS</w:t>
            </w:r>
            <w:proofErr w:type="gramStart"/>
            <w:r w:rsidRPr="00FC2892">
              <w:t>:E</w:t>
            </w:r>
            <w:proofErr w:type="spellEnd"/>
            <w:proofErr w:type="gramEnd"/>
            <w:r w:rsidRPr="00FC2892">
              <w:t xml:space="preserve"> instead of </w:t>
            </w:r>
            <w:proofErr w:type="spellStart"/>
            <w:r w:rsidRPr="00FC2892">
              <w:t>CONF_STATUS:N</w:t>
            </w:r>
            <w:proofErr w:type="spellEnd"/>
            <w:r w:rsidRPr="00FC2892">
              <w:t xml:space="preserve">. When this guideline is implemented, the </w:t>
            </w:r>
            <w:proofErr w:type="spellStart"/>
            <w:r w:rsidRPr="00FC2892">
              <w:t>CONF_STATUS</w:t>
            </w:r>
            <w:proofErr w:type="gramStart"/>
            <w:r w:rsidRPr="00FC2892">
              <w:t>:N</w:t>
            </w:r>
            <w:proofErr w:type="spellEnd"/>
            <w:proofErr w:type="gramEnd"/>
            <w:r w:rsidRPr="00FC2892">
              <w:t xml:space="preserve"> can no longer be used for this use case (the embargo time is ignored if the </w:t>
            </w:r>
            <w:proofErr w:type="spellStart"/>
            <w:r w:rsidRPr="00FC2892">
              <w:t>CONF_STATUS</w:t>
            </w:r>
            <w:proofErr w:type="spellEnd"/>
            <w:r w:rsidRPr="00FC2892">
              <w:t xml:space="preserve"> is N).</w:t>
            </w:r>
          </w:p>
          <w:p w14:paraId="324C3FCF" w14:textId="10EF90ED" w:rsidR="00FC08A6" w:rsidRDefault="00FC08A6" w:rsidP="00812039"/>
          <w:p w14:paraId="7B37A752" w14:textId="16529566" w:rsidR="005C4810" w:rsidRDefault="005C4810" w:rsidP="00812039">
            <w:r>
              <w:t>Clarified the document text, removed superfluous text.</w:t>
            </w:r>
          </w:p>
          <w:p w14:paraId="26D1853F" w14:textId="47432B0C" w:rsidR="00822FB7" w:rsidRDefault="00822FB7" w:rsidP="00812039">
            <w:r>
              <w:t xml:space="preserve">Added use of time zone </w:t>
            </w:r>
            <w:proofErr w:type="gramStart"/>
            <w:r>
              <w:t>is recommended</w:t>
            </w:r>
            <w:proofErr w:type="gramEnd"/>
            <w:r>
              <w:t>.</w:t>
            </w:r>
          </w:p>
        </w:tc>
      </w:tr>
      <w:tr w:rsidR="00FC08A6" w14:paraId="08E74C73" w14:textId="77777777" w:rsidTr="00C801DC">
        <w:tc>
          <w:tcPr>
            <w:tcW w:w="976" w:type="dxa"/>
          </w:tcPr>
          <w:p w14:paraId="22BCC51A" w14:textId="77777777" w:rsidR="00FC08A6" w:rsidRDefault="00FC08A6" w:rsidP="00D079B8"/>
        </w:tc>
        <w:tc>
          <w:tcPr>
            <w:tcW w:w="1417" w:type="dxa"/>
          </w:tcPr>
          <w:p w14:paraId="3E6CB5EA" w14:textId="77777777" w:rsidR="00FC08A6" w:rsidRDefault="00FC08A6" w:rsidP="00D079B8"/>
        </w:tc>
        <w:tc>
          <w:tcPr>
            <w:tcW w:w="5824" w:type="dxa"/>
          </w:tcPr>
          <w:p w14:paraId="3EE24113" w14:textId="58EE0618" w:rsidR="00FC08A6" w:rsidRDefault="00FC08A6" w:rsidP="00D079B8"/>
        </w:tc>
      </w:tr>
    </w:tbl>
    <w:p w14:paraId="0AFA8FD7" w14:textId="020FC067" w:rsidR="00575EB0" w:rsidRPr="00255DB4" w:rsidRDefault="00575EB0" w:rsidP="00255DB4">
      <w:pPr>
        <w:pStyle w:val="Heading1"/>
        <w:shd w:val="clear" w:color="auto" w:fill="D9D9D9" w:themeFill="background1" w:themeFillShade="D9"/>
        <w:rPr>
          <w:rFonts w:ascii="Times New Roman" w:hAnsi="Times New Roman"/>
        </w:rPr>
      </w:pPr>
      <w:r w:rsidRPr="00255DB4">
        <w:rPr>
          <w:rFonts w:ascii="Times New Roman" w:hAnsi="Times New Roman"/>
        </w:rPr>
        <w:t>Introduction</w:t>
      </w:r>
    </w:p>
    <w:p w14:paraId="0034637E" w14:textId="23ACD6F3" w:rsidR="001E1CC5" w:rsidRDefault="001E1CC5" w:rsidP="001E1CC5">
      <w:pPr>
        <w:jc w:val="both"/>
      </w:pPr>
      <w:r w:rsidRPr="001E376B">
        <w:t>Th</w:t>
      </w:r>
      <w:r w:rsidR="0004110F">
        <w:t>is</w:t>
      </w:r>
      <w:r w:rsidRPr="001E376B">
        <w:t xml:space="preserve"> paper presents use case scenarios</w:t>
      </w:r>
      <w:r>
        <w:t xml:space="preserve"> related to confidentiality and</w:t>
      </w:r>
      <w:r w:rsidRPr="001E376B">
        <w:t xml:space="preserve"> embargo</w:t>
      </w:r>
      <w:r w:rsidR="0004110F">
        <w:t xml:space="preserve"> in SDMX data exchanges, and provides </w:t>
      </w:r>
      <w:r w:rsidRPr="001E376B">
        <w:t xml:space="preserve">recommendations </w:t>
      </w:r>
      <w:r w:rsidR="0004110F">
        <w:t xml:space="preserve">on </w:t>
      </w:r>
      <w:r w:rsidRPr="001E376B">
        <w:t xml:space="preserve">how to represent </w:t>
      </w:r>
      <w:r w:rsidR="005C5AAC">
        <w:t xml:space="preserve">these </w:t>
      </w:r>
      <w:r>
        <w:t>elements</w:t>
      </w:r>
      <w:r w:rsidRPr="001E376B">
        <w:t xml:space="preserve"> in the SDMX model.</w:t>
      </w:r>
      <w:r>
        <w:t xml:space="preserve"> </w:t>
      </w:r>
      <w:r w:rsidR="0004110F">
        <w:t xml:space="preserve"> The aim is to provide a consistent and practical way to represent these aspects in SDMX artefacts in order to promote cross-domain consistency</w:t>
      </w:r>
      <w:r w:rsidR="005C5AAC">
        <w:t>,</w:t>
      </w:r>
      <w:r w:rsidR="0004110F">
        <w:t xml:space="preserve"> and harmonise methodology and processes.</w:t>
      </w:r>
    </w:p>
    <w:p w14:paraId="74D977B7" w14:textId="77777777" w:rsidR="001E1CC5" w:rsidRDefault="001E1CC5" w:rsidP="001E1CC5">
      <w:pPr>
        <w:jc w:val="both"/>
      </w:pPr>
    </w:p>
    <w:p w14:paraId="55D2A85C" w14:textId="309DBC47" w:rsidR="001E1CC5" w:rsidRDefault="0004110F" w:rsidP="001E1CC5">
      <w:pPr>
        <w:jc w:val="both"/>
      </w:pPr>
      <w:r>
        <w:t>C</w:t>
      </w:r>
      <w:r w:rsidR="001E1CC5" w:rsidRPr="00205137">
        <w:t xml:space="preserve">onfidentiality </w:t>
      </w:r>
      <w:r>
        <w:t xml:space="preserve">aims at protecting data from </w:t>
      </w:r>
      <w:r w:rsidR="001E1CC5" w:rsidRPr="00205137">
        <w:t xml:space="preserve">unauthorised disclosure </w:t>
      </w:r>
      <w:r>
        <w:t xml:space="preserve">that </w:t>
      </w:r>
      <w:r w:rsidR="001E1CC5" w:rsidRPr="00205137">
        <w:t xml:space="preserve">could be prejudicial or harmful to the interest of the source or other relevant parties. </w:t>
      </w:r>
    </w:p>
    <w:p w14:paraId="0D91A379" w14:textId="77777777" w:rsidR="001E1CC5" w:rsidRDefault="001E1CC5" w:rsidP="001E1CC5">
      <w:pPr>
        <w:jc w:val="both"/>
      </w:pPr>
    </w:p>
    <w:p w14:paraId="27390877" w14:textId="6382353B" w:rsidR="003401D7" w:rsidRDefault="0004110F" w:rsidP="004430B0">
      <w:pPr>
        <w:jc w:val="both"/>
      </w:pPr>
      <w:r>
        <w:t xml:space="preserve">Embargo means that </w:t>
      </w:r>
      <w:r w:rsidR="007D134A">
        <w:t>data</w:t>
      </w:r>
      <w:r w:rsidR="003401D7">
        <w:t xml:space="preserve"> </w:t>
      </w:r>
      <w:r w:rsidR="009E13D3">
        <w:t>may become public only after expiry of a pre-defined date and time</w:t>
      </w:r>
      <w:r w:rsidR="003401D7">
        <w:t xml:space="preserve">. </w:t>
      </w:r>
    </w:p>
    <w:p w14:paraId="520676D9" w14:textId="77777777" w:rsidR="003401D7" w:rsidRDefault="003401D7" w:rsidP="004430B0">
      <w:pPr>
        <w:jc w:val="both"/>
      </w:pPr>
    </w:p>
    <w:p w14:paraId="5D0A56D2" w14:textId="3D2E1B02" w:rsidR="00FC04ED" w:rsidRDefault="00FC04ED" w:rsidP="00FC04ED">
      <w:pPr>
        <w:jc w:val="both"/>
      </w:pPr>
      <w:r w:rsidRPr="00205137">
        <w:t>Embargo establishes a relationship between a set of data (e.g. an observation), a date/time and a group of privileged data recipients</w:t>
      </w:r>
      <w:r>
        <w:t xml:space="preserve">.  </w:t>
      </w:r>
    </w:p>
    <w:p w14:paraId="70B19705" w14:textId="77777777" w:rsidR="00FC04ED" w:rsidRDefault="00FC04ED" w:rsidP="00E41E7A">
      <w:pPr>
        <w:jc w:val="both"/>
      </w:pPr>
    </w:p>
    <w:p w14:paraId="67FB87C3" w14:textId="13521177" w:rsidR="00205137" w:rsidRDefault="005C5AAC" w:rsidP="0000718D">
      <w:pPr>
        <w:keepNext/>
        <w:jc w:val="both"/>
      </w:pPr>
      <w:r>
        <w:lastRenderedPageBreak/>
        <w:t>D</w:t>
      </w:r>
      <w:r w:rsidR="00205137" w:rsidRPr="00205137">
        <w:t xml:space="preserve">isclosure of data </w:t>
      </w:r>
      <w:r>
        <w:t xml:space="preserve">marked as </w:t>
      </w:r>
      <w:r w:rsidR="00205137" w:rsidRPr="00205137">
        <w:t xml:space="preserve">confidential </w:t>
      </w:r>
      <w:r w:rsidR="00FC04ED">
        <w:t xml:space="preserve">or under embargo </w:t>
      </w:r>
      <w:proofErr w:type="gramStart"/>
      <w:r w:rsidR="00205137" w:rsidRPr="00205137">
        <w:t>is not permitted</w:t>
      </w:r>
      <w:proofErr w:type="gramEnd"/>
      <w:r w:rsidR="00FC04ED">
        <w:t xml:space="preserve">. </w:t>
      </w:r>
      <w:r w:rsidR="005718D8">
        <w:t>P</w:t>
      </w:r>
      <w:r w:rsidR="00205137" w:rsidRPr="00205137">
        <w:t xml:space="preserve">rocedures </w:t>
      </w:r>
      <w:r w:rsidR="005718D8">
        <w:t xml:space="preserve">should be </w:t>
      </w:r>
      <w:r w:rsidR="00205137" w:rsidRPr="00205137">
        <w:t xml:space="preserve">in place to prevent </w:t>
      </w:r>
      <w:r>
        <w:t xml:space="preserve">such </w:t>
      </w:r>
      <w:r w:rsidR="00205137" w:rsidRPr="00205137">
        <w:t xml:space="preserve">disclosure, including rules </w:t>
      </w:r>
      <w:r w:rsidR="00661F26">
        <w:t>for</w:t>
      </w:r>
      <w:r w:rsidR="00205137" w:rsidRPr="00205137">
        <w:t xml:space="preserve"> staff, aggregation rules when disseminating data, provision of unit records, etc.</w:t>
      </w:r>
      <w:r w:rsidR="00FC04ED">
        <w:t xml:space="preserve">  </w:t>
      </w:r>
    </w:p>
    <w:p w14:paraId="379421E0" w14:textId="77777777" w:rsidR="0000718D" w:rsidRDefault="0000718D" w:rsidP="0000718D">
      <w:pPr>
        <w:keepNext/>
        <w:jc w:val="both"/>
      </w:pPr>
    </w:p>
    <w:p w14:paraId="48E466A4" w14:textId="4E74BF39" w:rsidR="00FC04ED" w:rsidRDefault="00FC04ED" w:rsidP="0000718D">
      <w:pPr>
        <w:keepNext/>
        <w:jc w:val="both"/>
      </w:pPr>
      <w:r w:rsidRPr="001E376B">
        <w:t>The</w:t>
      </w:r>
      <w:r w:rsidR="001E376B">
        <w:t xml:space="preserve">re </w:t>
      </w:r>
      <w:r w:rsidR="005C5AAC">
        <w:t xml:space="preserve">needs to </w:t>
      </w:r>
      <w:r w:rsidR="001E376B">
        <w:t>be a formal agreement between organisations involved in the exchange of confidential data in order to prepare systems and workflows.</w:t>
      </w:r>
    </w:p>
    <w:p w14:paraId="7D427A5D" w14:textId="77777777" w:rsidR="00BB0B08" w:rsidRDefault="00BB0B08" w:rsidP="0000718D">
      <w:pPr>
        <w:keepNext/>
        <w:jc w:val="both"/>
      </w:pPr>
    </w:p>
    <w:p w14:paraId="7A5D4B5A" w14:textId="260B6B84" w:rsidR="00BB0B08" w:rsidRDefault="00BB0B08" w:rsidP="0000718D">
      <w:pPr>
        <w:keepNext/>
        <w:jc w:val="both"/>
      </w:pPr>
      <w:r>
        <w:t xml:space="preserve">Data exchange partners </w:t>
      </w:r>
      <w:proofErr w:type="gramStart"/>
      <w:r>
        <w:t>are advised</w:t>
      </w:r>
      <w:proofErr w:type="gramEnd"/>
      <w:r>
        <w:t xml:space="preserve"> to agree up front on the usage of the embargo mechanism(s) </w:t>
      </w:r>
      <w:r w:rsidR="0062037E">
        <w:t>for specific data</w:t>
      </w:r>
      <w:r w:rsidR="00170A05">
        <w:t xml:space="preserve"> messages</w:t>
      </w:r>
      <w:r>
        <w:t>.</w:t>
      </w:r>
    </w:p>
    <w:p w14:paraId="7B6DB8B4" w14:textId="77777777" w:rsidR="00123386" w:rsidRDefault="00123386" w:rsidP="00123386">
      <w:pPr>
        <w:keepNext/>
        <w:jc w:val="both"/>
      </w:pPr>
    </w:p>
    <w:p w14:paraId="4D3122CC" w14:textId="2F8AD081" w:rsidR="00123386" w:rsidRDefault="00123386" w:rsidP="00123386">
      <w:pPr>
        <w:keepNext/>
        <w:jc w:val="both"/>
      </w:pPr>
      <w:r w:rsidRPr="00B703E1">
        <w:t xml:space="preserve">The embargo </w:t>
      </w:r>
      <w:proofErr w:type="spellStart"/>
      <w:r w:rsidRPr="00B703E1">
        <w:t>CONF_STATUS</w:t>
      </w:r>
      <w:proofErr w:type="spellEnd"/>
      <w:r w:rsidRPr="00B703E1">
        <w:t xml:space="preserve"> value “E” </w:t>
      </w:r>
      <w:proofErr w:type="gramStart"/>
      <w:r w:rsidRPr="00B703E1">
        <w:t xml:space="preserve">is not </w:t>
      </w:r>
      <w:r>
        <w:t>recommended</w:t>
      </w:r>
      <w:proofErr w:type="gramEnd"/>
      <w:r w:rsidRPr="00B703E1">
        <w:t xml:space="preserve"> </w:t>
      </w:r>
      <w:r>
        <w:t xml:space="preserve">for </w:t>
      </w:r>
      <w:r w:rsidRPr="00B703E1">
        <w:t>final dissemination to users but only for data exchange.</w:t>
      </w:r>
    </w:p>
    <w:p w14:paraId="6820A86A" w14:textId="69976119" w:rsidR="000E38B0" w:rsidRPr="00255DB4" w:rsidRDefault="00ED6436" w:rsidP="00255DB4">
      <w:pPr>
        <w:pStyle w:val="Heading1"/>
        <w:shd w:val="clear" w:color="auto" w:fill="D9D9D9" w:themeFill="background1" w:themeFillShade="D9"/>
        <w:jc w:val="both"/>
        <w:rPr>
          <w:rFonts w:ascii="Times New Roman" w:hAnsi="Times New Roman"/>
        </w:rPr>
      </w:pPr>
      <w:r w:rsidRPr="00255DB4">
        <w:rPr>
          <w:rFonts w:ascii="Times New Roman" w:hAnsi="Times New Roman"/>
        </w:rPr>
        <w:t xml:space="preserve">Use Cases </w:t>
      </w:r>
    </w:p>
    <w:p w14:paraId="47E9D9ED" w14:textId="77777777" w:rsidR="009A355A" w:rsidRDefault="00125C69" w:rsidP="00FE3B69">
      <w:pPr>
        <w:jc w:val="both"/>
        <w:rPr>
          <w:lang w:val="en"/>
        </w:rPr>
      </w:pPr>
      <w:r>
        <w:rPr>
          <w:lang w:val="en"/>
        </w:rPr>
        <w:t xml:space="preserve">This section describes the confidentiality </w:t>
      </w:r>
      <w:r w:rsidR="0000718D">
        <w:rPr>
          <w:lang w:val="en"/>
        </w:rPr>
        <w:t xml:space="preserve">and embargo </w:t>
      </w:r>
      <w:r>
        <w:rPr>
          <w:lang w:val="en"/>
        </w:rPr>
        <w:t xml:space="preserve">use cases that </w:t>
      </w:r>
      <w:proofErr w:type="gramStart"/>
      <w:r>
        <w:rPr>
          <w:lang w:val="en"/>
        </w:rPr>
        <w:t>are addressed</w:t>
      </w:r>
      <w:proofErr w:type="gramEnd"/>
      <w:r>
        <w:rPr>
          <w:lang w:val="en"/>
        </w:rPr>
        <w:t xml:space="preserve"> by these guidelines.  The use case</w:t>
      </w:r>
      <w:r w:rsidR="003401D7">
        <w:rPr>
          <w:lang w:val="en"/>
        </w:rPr>
        <w:t xml:space="preserve">s and </w:t>
      </w:r>
      <w:r w:rsidR="0000718D">
        <w:rPr>
          <w:lang w:val="en"/>
        </w:rPr>
        <w:t xml:space="preserve">embargo SDMX </w:t>
      </w:r>
      <w:r w:rsidR="00FD783F">
        <w:rPr>
          <w:lang w:val="en"/>
        </w:rPr>
        <w:t>representations</w:t>
      </w:r>
      <w:r w:rsidR="003401D7">
        <w:rPr>
          <w:lang w:val="en"/>
        </w:rPr>
        <w:t xml:space="preserve"> are </w:t>
      </w:r>
      <w:r w:rsidR="003401D7" w:rsidRPr="005863F5">
        <w:t>summarised</w:t>
      </w:r>
      <w:r w:rsidR="003401D7">
        <w:rPr>
          <w:lang w:val="en"/>
        </w:rPr>
        <w:t xml:space="preserve"> in annex</w:t>
      </w:r>
      <w:r w:rsidR="0000718D">
        <w:rPr>
          <w:lang w:val="en"/>
        </w:rPr>
        <w:t xml:space="preserve"> 1</w:t>
      </w:r>
      <w:r w:rsidR="009A355A">
        <w:rPr>
          <w:lang w:val="en"/>
        </w:rPr>
        <w:t>:</w:t>
      </w:r>
    </w:p>
    <w:p w14:paraId="715A36C1" w14:textId="1F07AE9F" w:rsidR="00C64FAB" w:rsidRPr="00965144" w:rsidRDefault="009A355A" w:rsidP="00FE3B69">
      <w:pPr>
        <w:pStyle w:val="Heading2"/>
        <w:jc w:val="both"/>
        <w:rPr>
          <w:rFonts w:ascii="Times New Roman Bold" w:hAnsi="Times New Roman Bold"/>
          <w:i w:val="0"/>
          <w:smallCaps/>
          <w:lang w:val="en"/>
        </w:rPr>
      </w:pPr>
      <w:r w:rsidRPr="00965144">
        <w:rPr>
          <w:rFonts w:ascii="Times New Roman Bold" w:hAnsi="Times New Roman Bold"/>
          <w:i w:val="0"/>
          <w:smallCaps/>
          <w:lang w:val="en"/>
        </w:rPr>
        <w:t>Use case</w:t>
      </w:r>
      <w:r w:rsidR="00965144">
        <w:rPr>
          <w:rFonts w:ascii="Times New Roman Bold" w:hAnsi="Times New Roman Bold"/>
          <w:i w:val="0"/>
          <w:smallCaps/>
          <w:lang w:val="en"/>
        </w:rPr>
        <w:t xml:space="preserve"> 1</w:t>
      </w:r>
      <w:r w:rsidR="0027511B" w:rsidRPr="00965144">
        <w:rPr>
          <w:rFonts w:ascii="Times New Roman Bold" w:hAnsi="Times New Roman Bold"/>
          <w:i w:val="0"/>
          <w:smallCaps/>
          <w:lang w:val="en"/>
        </w:rPr>
        <w:t xml:space="preserve">: </w:t>
      </w:r>
      <w:r w:rsidR="00D86834" w:rsidRPr="00965144">
        <w:rPr>
          <w:rFonts w:ascii="Times New Roman Bold" w:hAnsi="Times New Roman Bold"/>
          <w:i w:val="0"/>
          <w:smallCaps/>
          <w:lang w:val="en"/>
        </w:rPr>
        <w:t>N</w:t>
      </w:r>
      <w:r w:rsidR="0027511B" w:rsidRPr="00965144">
        <w:rPr>
          <w:rFonts w:ascii="Times New Roman Bold" w:hAnsi="Times New Roman Bold"/>
          <w:i w:val="0"/>
          <w:smallCaps/>
          <w:lang w:val="en"/>
        </w:rPr>
        <w:t>on-confidential data</w:t>
      </w:r>
      <w:r w:rsidRPr="00965144">
        <w:rPr>
          <w:rFonts w:ascii="Times New Roman Bold" w:hAnsi="Times New Roman Bold"/>
          <w:i w:val="0"/>
          <w:smallCaps/>
          <w:lang w:val="en"/>
        </w:rPr>
        <w:t xml:space="preserve"> </w:t>
      </w:r>
    </w:p>
    <w:p w14:paraId="2CF38C44" w14:textId="53D80D1A" w:rsidR="00DB7246" w:rsidRDefault="003401D7" w:rsidP="00FE3B69">
      <w:pPr>
        <w:pStyle w:val="ListBullet"/>
        <w:numPr>
          <w:ilvl w:val="0"/>
          <w:numId w:val="0"/>
        </w:numPr>
        <w:jc w:val="both"/>
        <w:rPr>
          <w:lang w:val="en"/>
        </w:rPr>
      </w:pPr>
      <w:r>
        <w:rPr>
          <w:lang w:val="en"/>
        </w:rPr>
        <w:t>Data is available to the public immediately</w:t>
      </w:r>
      <w:r w:rsidR="00FD783F">
        <w:rPr>
          <w:lang w:val="en"/>
        </w:rPr>
        <w:t>,</w:t>
      </w:r>
      <w:r>
        <w:rPr>
          <w:lang w:val="en"/>
        </w:rPr>
        <w:t xml:space="preserve"> </w:t>
      </w:r>
      <w:r w:rsidR="005C5AAC">
        <w:rPr>
          <w:lang w:val="en"/>
        </w:rPr>
        <w:t xml:space="preserve">meaning that </w:t>
      </w:r>
      <w:r w:rsidR="00FD783F">
        <w:rPr>
          <w:lang w:val="en"/>
        </w:rPr>
        <w:t xml:space="preserve">data </w:t>
      </w:r>
      <w:r w:rsidR="00C64FAB">
        <w:rPr>
          <w:lang w:val="en"/>
        </w:rPr>
        <w:t xml:space="preserve">is </w:t>
      </w:r>
      <w:r w:rsidR="009A355A">
        <w:rPr>
          <w:lang w:val="en"/>
        </w:rPr>
        <w:t>not confidential</w:t>
      </w:r>
      <w:r w:rsidR="002A5687">
        <w:rPr>
          <w:lang w:val="en"/>
        </w:rPr>
        <w:t xml:space="preserve"> and </w:t>
      </w:r>
      <w:r w:rsidR="00DB7246">
        <w:rPr>
          <w:lang w:val="en"/>
        </w:rPr>
        <w:t>there is no embargo.</w:t>
      </w:r>
    </w:p>
    <w:p w14:paraId="1658D3D0" w14:textId="77777777" w:rsidR="00DB7246" w:rsidRDefault="00DB7246" w:rsidP="0027511B">
      <w:pPr>
        <w:pStyle w:val="ListBullet"/>
        <w:numPr>
          <w:ilvl w:val="0"/>
          <w:numId w:val="0"/>
        </w:numPr>
        <w:rPr>
          <w:lang w:val="en"/>
        </w:rPr>
      </w:pPr>
    </w:p>
    <w:p w14:paraId="68C2947F" w14:textId="77777777" w:rsidR="00C64FAB" w:rsidRDefault="00DB7246" w:rsidP="00FE3B69">
      <w:pPr>
        <w:pStyle w:val="ListBullet"/>
        <w:keepNext/>
        <w:numPr>
          <w:ilvl w:val="0"/>
          <w:numId w:val="0"/>
        </w:numPr>
        <w:spacing w:after="120"/>
        <w:contextualSpacing w:val="0"/>
        <w:jc w:val="both"/>
        <w:rPr>
          <w:lang w:val="en"/>
        </w:rPr>
      </w:pPr>
      <w:r>
        <w:rPr>
          <w:lang w:val="en"/>
        </w:rPr>
        <w:t xml:space="preserve">The data’s </w:t>
      </w:r>
      <w:proofErr w:type="spellStart"/>
      <w:r w:rsidR="00034D38">
        <w:rPr>
          <w:lang w:val="en"/>
        </w:rPr>
        <w:t>CONF_STATUS</w:t>
      </w:r>
      <w:proofErr w:type="spellEnd"/>
      <w:r w:rsidR="00034D38">
        <w:rPr>
          <w:lang w:val="en"/>
        </w:rPr>
        <w:t xml:space="preserve"> attribute </w:t>
      </w:r>
      <w:r w:rsidR="00FD783F">
        <w:rPr>
          <w:lang w:val="en"/>
        </w:rPr>
        <w:t xml:space="preserve">should be set to </w:t>
      </w:r>
      <w:r w:rsidR="002C7DC9">
        <w:rPr>
          <w:lang w:val="en"/>
        </w:rPr>
        <w:t>“</w:t>
      </w:r>
      <w:r w:rsidR="00FD783F" w:rsidRPr="00FD783F">
        <w:rPr>
          <w:lang w:val="en"/>
        </w:rPr>
        <w:t>Free (free for publication)</w:t>
      </w:r>
      <w:r w:rsidR="002C7DC9">
        <w:rPr>
          <w:lang w:val="en"/>
        </w:rPr>
        <w:t>”</w:t>
      </w:r>
      <w:r w:rsidR="009A355A">
        <w:rPr>
          <w:lang w:val="en"/>
        </w:rPr>
        <w:t>.</w:t>
      </w:r>
      <w:r w:rsidR="002E7DE9">
        <w:rPr>
          <w:lang w:val="en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3E7877" w14:paraId="71498A8E" w14:textId="77777777" w:rsidTr="003E7877">
        <w:tc>
          <w:tcPr>
            <w:tcW w:w="8522" w:type="dxa"/>
          </w:tcPr>
          <w:p w14:paraId="7BBB9EA7" w14:textId="77777777" w:rsidR="003E7877" w:rsidRPr="00661F26" w:rsidRDefault="003E7877" w:rsidP="00FE3B69">
            <w:pPr>
              <w:pStyle w:val="Heading3"/>
              <w:spacing w:before="120"/>
              <w:jc w:val="both"/>
              <w:rPr>
                <w:rFonts w:ascii="Times New Roman" w:hAnsi="Times New Roman"/>
                <w:sz w:val="24"/>
                <w:lang w:val="en"/>
              </w:rPr>
            </w:pPr>
            <w:r w:rsidRPr="00661F26">
              <w:rPr>
                <w:rFonts w:ascii="Times New Roman" w:hAnsi="Times New Roman"/>
                <w:sz w:val="24"/>
                <w:lang w:val="fr-BE"/>
              </w:rPr>
              <w:t>SDMX</w:t>
            </w:r>
            <w:r w:rsidRPr="00661F26">
              <w:rPr>
                <w:rFonts w:ascii="Times New Roman" w:hAnsi="Times New Roman"/>
                <w:sz w:val="24"/>
                <w:lang w:val="en"/>
              </w:rPr>
              <w:t xml:space="preserve"> representation</w:t>
            </w:r>
          </w:p>
          <w:p w14:paraId="3F386362" w14:textId="29A38F81" w:rsidR="003E7877" w:rsidRPr="00661F26" w:rsidRDefault="003E7877" w:rsidP="00FE3B69">
            <w:pPr>
              <w:pStyle w:val="ListParagraph"/>
              <w:keepNext/>
              <w:numPr>
                <w:ilvl w:val="0"/>
                <w:numId w:val="20"/>
              </w:numPr>
              <w:spacing w:before="60" w:after="120"/>
              <w:ind w:left="556" w:hanging="284"/>
              <w:contextualSpacing w:val="0"/>
              <w:jc w:val="both"/>
              <w:outlineLvl w:val="1"/>
              <w:rPr>
                <w:lang w:val="en"/>
              </w:rPr>
            </w:pPr>
            <w:proofErr w:type="spellStart"/>
            <w:r w:rsidRPr="00661F26">
              <w:rPr>
                <w:b/>
                <w:sz w:val="20"/>
                <w:lang w:val="en"/>
              </w:rPr>
              <w:t>CONF_STATUS</w:t>
            </w:r>
            <w:proofErr w:type="spellEnd"/>
            <w:r w:rsidRPr="00661F26">
              <w:rPr>
                <w:sz w:val="20"/>
                <w:lang w:val="en"/>
              </w:rPr>
              <w:t>: F</w:t>
            </w:r>
          </w:p>
        </w:tc>
      </w:tr>
    </w:tbl>
    <w:p w14:paraId="497820EE" w14:textId="45BADA79" w:rsidR="009A355A" w:rsidRPr="00965144" w:rsidRDefault="009A355A" w:rsidP="00965144">
      <w:pPr>
        <w:pStyle w:val="Heading2"/>
        <w:jc w:val="both"/>
        <w:rPr>
          <w:rFonts w:ascii="Times New Roman Bold" w:hAnsi="Times New Roman Bold"/>
          <w:i w:val="0"/>
          <w:smallCaps/>
          <w:lang w:val="en"/>
        </w:rPr>
      </w:pPr>
      <w:r w:rsidRPr="00965144">
        <w:rPr>
          <w:rFonts w:ascii="Times New Roman Bold" w:hAnsi="Times New Roman Bold"/>
          <w:i w:val="0"/>
          <w:smallCaps/>
          <w:lang w:val="en"/>
        </w:rPr>
        <w:t>Use case</w:t>
      </w:r>
      <w:r w:rsidR="00965144">
        <w:rPr>
          <w:rFonts w:ascii="Times New Roman Bold" w:hAnsi="Times New Roman Bold"/>
          <w:i w:val="0"/>
          <w:smallCaps/>
          <w:lang w:val="en"/>
        </w:rPr>
        <w:t xml:space="preserve"> 2</w:t>
      </w:r>
      <w:r w:rsidR="0027511B" w:rsidRPr="00965144">
        <w:rPr>
          <w:rFonts w:ascii="Times New Roman Bold" w:hAnsi="Times New Roman Bold"/>
          <w:i w:val="0"/>
          <w:smallCaps/>
          <w:lang w:val="en"/>
        </w:rPr>
        <w:t xml:space="preserve">: </w:t>
      </w:r>
      <w:r w:rsidR="00FC102A" w:rsidRPr="00965144">
        <w:rPr>
          <w:rFonts w:ascii="Times New Roman Bold" w:hAnsi="Times New Roman Bold"/>
          <w:i w:val="0"/>
          <w:smallCaps/>
          <w:lang w:val="en"/>
        </w:rPr>
        <w:t>C</w:t>
      </w:r>
      <w:r w:rsidR="0027511B" w:rsidRPr="00965144">
        <w:rPr>
          <w:rFonts w:ascii="Times New Roman Bold" w:hAnsi="Times New Roman Bold"/>
          <w:i w:val="0"/>
          <w:smallCaps/>
          <w:lang w:val="en"/>
        </w:rPr>
        <w:t>onfidential data</w:t>
      </w:r>
    </w:p>
    <w:p w14:paraId="337B09AA" w14:textId="3063F30D" w:rsidR="0013370F" w:rsidRPr="00965144" w:rsidRDefault="0013370F" w:rsidP="00965144">
      <w:pPr>
        <w:pStyle w:val="Heading3"/>
        <w:spacing w:before="120"/>
        <w:jc w:val="both"/>
        <w:rPr>
          <w:rFonts w:ascii="Times New Roman" w:hAnsi="Times New Roman"/>
          <w:sz w:val="24"/>
          <w:szCs w:val="24"/>
          <w:lang w:val="en"/>
        </w:rPr>
      </w:pPr>
      <w:r w:rsidRPr="00965144">
        <w:rPr>
          <w:rFonts w:ascii="Times New Roman" w:hAnsi="Times New Roman"/>
          <w:sz w:val="24"/>
          <w:szCs w:val="24"/>
          <w:lang w:val="en"/>
        </w:rPr>
        <w:t xml:space="preserve">Exchange of confidential data without embargo </w:t>
      </w:r>
      <w:r w:rsidR="00965144" w:rsidRPr="00965144">
        <w:rPr>
          <w:rFonts w:ascii="Times New Roman" w:hAnsi="Times New Roman"/>
          <w:sz w:val="24"/>
          <w:szCs w:val="24"/>
          <w:lang w:val="en"/>
        </w:rPr>
        <w:t>n</w:t>
      </w:r>
      <w:r w:rsidRPr="00965144">
        <w:rPr>
          <w:rFonts w:ascii="Times New Roman" w:hAnsi="Times New Roman"/>
          <w:sz w:val="24"/>
          <w:szCs w:val="24"/>
          <w:lang w:val="en"/>
        </w:rPr>
        <w:t>or forwarding</w:t>
      </w:r>
      <w:r w:rsidR="00965144" w:rsidRPr="00965144">
        <w:rPr>
          <w:rFonts w:ascii="Times New Roman" w:hAnsi="Times New Roman"/>
          <w:sz w:val="24"/>
          <w:szCs w:val="24"/>
          <w:lang w:val="en"/>
        </w:rPr>
        <w:t xml:space="preserve"> to secondary recipients</w:t>
      </w:r>
    </w:p>
    <w:p w14:paraId="20942115" w14:textId="60A3CDE0" w:rsidR="009A355A" w:rsidRDefault="007D6A05" w:rsidP="00FE3B69">
      <w:pPr>
        <w:jc w:val="both"/>
        <w:rPr>
          <w:lang w:val="en"/>
        </w:rPr>
      </w:pPr>
      <w:r>
        <w:rPr>
          <w:lang w:val="en"/>
        </w:rPr>
        <w:t>One or more o</w:t>
      </w:r>
      <w:r w:rsidR="002E7DE9">
        <w:rPr>
          <w:lang w:val="en"/>
        </w:rPr>
        <w:t xml:space="preserve">bservations </w:t>
      </w:r>
      <w:r w:rsidR="00CB1921">
        <w:rPr>
          <w:lang w:val="en"/>
        </w:rPr>
        <w:t xml:space="preserve">in the </w:t>
      </w:r>
      <w:r w:rsidR="00170A05">
        <w:rPr>
          <w:lang w:val="en"/>
        </w:rPr>
        <w:t xml:space="preserve">data message </w:t>
      </w:r>
      <w:r w:rsidR="002E7DE9">
        <w:rPr>
          <w:lang w:val="en"/>
        </w:rPr>
        <w:t xml:space="preserve">are </w:t>
      </w:r>
      <w:r w:rsidR="009A355A">
        <w:rPr>
          <w:lang w:val="en"/>
        </w:rPr>
        <w:t>confidential</w:t>
      </w:r>
      <w:r w:rsidR="002E7DE9">
        <w:rPr>
          <w:lang w:val="en"/>
        </w:rPr>
        <w:t xml:space="preserve">. </w:t>
      </w:r>
      <w:r w:rsidR="0013370F">
        <w:rPr>
          <w:lang w:val="en"/>
        </w:rPr>
        <w:t xml:space="preserve"> </w:t>
      </w:r>
      <w:r w:rsidR="002E7DE9">
        <w:rPr>
          <w:lang w:val="en"/>
        </w:rPr>
        <w:t xml:space="preserve">Embargo does not play a role in this </w:t>
      </w:r>
      <w:r w:rsidR="0013370F">
        <w:rPr>
          <w:lang w:val="en"/>
        </w:rPr>
        <w:t>scenario</w:t>
      </w:r>
      <w:r w:rsidR="002E7DE9">
        <w:rPr>
          <w:lang w:val="en"/>
        </w:rPr>
        <w:t xml:space="preserve">. </w:t>
      </w:r>
      <w:r w:rsidR="0013370F">
        <w:rPr>
          <w:lang w:val="en"/>
        </w:rPr>
        <w:t xml:space="preserve"> </w:t>
      </w:r>
      <w:r w:rsidR="002E7DE9">
        <w:rPr>
          <w:lang w:val="en"/>
        </w:rPr>
        <w:t xml:space="preserve">Depending on arrangements between data exchange partners, </w:t>
      </w:r>
      <w:r w:rsidR="0013370F">
        <w:rPr>
          <w:lang w:val="en"/>
        </w:rPr>
        <w:t xml:space="preserve">this </w:t>
      </w:r>
      <w:r w:rsidR="002E7DE9">
        <w:rPr>
          <w:lang w:val="en"/>
        </w:rPr>
        <w:t xml:space="preserve">data </w:t>
      </w:r>
      <w:proofErr w:type="gramStart"/>
      <w:r w:rsidR="002E7DE9">
        <w:rPr>
          <w:lang w:val="en"/>
        </w:rPr>
        <w:t>can be made</w:t>
      </w:r>
      <w:proofErr w:type="gramEnd"/>
      <w:r w:rsidR="002E7DE9">
        <w:rPr>
          <w:lang w:val="en"/>
        </w:rPr>
        <w:t xml:space="preserve"> available</w:t>
      </w:r>
      <w:r w:rsidR="009A355A">
        <w:rPr>
          <w:lang w:val="en"/>
        </w:rPr>
        <w:t xml:space="preserve"> to </w:t>
      </w:r>
      <w:r w:rsidR="00E61D7A">
        <w:rPr>
          <w:lang w:val="en"/>
        </w:rPr>
        <w:t xml:space="preserve">privileged data </w:t>
      </w:r>
      <w:r w:rsidR="002E7DE9">
        <w:rPr>
          <w:lang w:val="en"/>
        </w:rPr>
        <w:t>users.</w:t>
      </w:r>
    </w:p>
    <w:p w14:paraId="6DC5D534" w14:textId="77777777" w:rsidR="00D56672" w:rsidRDefault="00D56672" w:rsidP="00FE3B69">
      <w:pPr>
        <w:pStyle w:val="ListBullet"/>
        <w:numPr>
          <w:ilvl w:val="0"/>
          <w:numId w:val="0"/>
        </w:numPr>
        <w:jc w:val="both"/>
        <w:rPr>
          <w:lang w:val="en"/>
        </w:rPr>
      </w:pPr>
    </w:p>
    <w:p w14:paraId="59911D08" w14:textId="517A7FA1" w:rsidR="007631A9" w:rsidRDefault="00DB7246" w:rsidP="00965144">
      <w:pPr>
        <w:pStyle w:val="ListBullet"/>
        <w:keepNext/>
        <w:numPr>
          <w:ilvl w:val="0"/>
          <w:numId w:val="0"/>
        </w:numPr>
        <w:spacing w:after="120"/>
        <w:contextualSpacing w:val="0"/>
        <w:jc w:val="both"/>
        <w:rPr>
          <w:lang w:val="en"/>
        </w:rPr>
      </w:pPr>
      <w:r>
        <w:rPr>
          <w:lang w:val="en"/>
        </w:rPr>
        <w:t xml:space="preserve">The </w:t>
      </w:r>
      <w:r w:rsidR="00B774B9">
        <w:rPr>
          <w:lang w:val="en"/>
        </w:rPr>
        <w:t xml:space="preserve">observation’s </w:t>
      </w:r>
      <w:proofErr w:type="spellStart"/>
      <w:r w:rsidR="00034D38">
        <w:rPr>
          <w:lang w:val="en"/>
        </w:rPr>
        <w:t>CONF_STATUS</w:t>
      </w:r>
      <w:proofErr w:type="spellEnd"/>
      <w:r w:rsidR="00034D38">
        <w:rPr>
          <w:lang w:val="en"/>
        </w:rPr>
        <w:t xml:space="preserve"> attribute </w:t>
      </w:r>
      <w:r w:rsidR="00B774B9">
        <w:rPr>
          <w:lang w:val="en"/>
        </w:rPr>
        <w:t xml:space="preserve">should </w:t>
      </w:r>
      <w:r w:rsidR="0013370F">
        <w:rPr>
          <w:lang w:val="en"/>
        </w:rPr>
        <w:t>use a specific code denoting the confidential character of the information</w:t>
      </w:r>
      <w:r w:rsidR="002C7DC9">
        <w:rPr>
          <w:lang w:val="en"/>
        </w:rPr>
        <w:t>.</w:t>
      </w:r>
      <w:r w:rsidR="00B81E62">
        <w:rPr>
          <w:lang w:val="en"/>
        </w:rPr>
        <w:t xml:space="preserve">  </w:t>
      </w:r>
      <w:r w:rsidR="00965144">
        <w:rPr>
          <w:lang w:val="en"/>
        </w:rPr>
        <w:t>Below are some examples of such confidentiality</w:t>
      </w:r>
      <w:r w:rsidR="007631A9">
        <w:rPr>
          <w:lang w:val="en"/>
        </w:rPr>
        <w:t xml:space="preserve"> </w:t>
      </w:r>
      <w:r w:rsidR="00872E67">
        <w:rPr>
          <w:lang w:val="en"/>
        </w:rPr>
        <w:t>statuses</w:t>
      </w:r>
      <w:r w:rsidR="003F1533">
        <w:rPr>
          <w:rStyle w:val="FootnoteReference"/>
          <w:lang w:val="en"/>
        </w:rPr>
        <w:footnoteReference w:id="1"/>
      </w:r>
      <w:r w:rsidR="007631A9">
        <w:rPr>
          <w:lang w:val="en"/>
        </w:rPr>
        <w:t>:</w:t>
      </w:r>
    </w:p>
    <w:p w14:paraId="2F13A089" w14:textId="7E4014C1" w:rsidR="007631A9" w:rsidRPr="007E3BE3" w:rsidRDefault="007631A9" w:rsidP="00965144">
      <w:pPr>
        <w:pStyle w:val="ListBullet"/>
        <w:keepNext/>
        <w:tabs>
          <w:tab w:val="clear" w:pos="360"/>
          <w:tab w:val="num" w:pos="284"/>
        </w:tabs>
        <w:ind w:left="709" w:hanging="709"/>
        <w:jc w:val="both"/>
        <w:rPr>
          <w:color w:val="000000" w:themeColor="text1"/>
          <w:lang w:val="en"/>
        </w:rPr>
      </w:pPr>
      <w:r w:rsidRPr="007E3BE3">
        <w:rPr>
          <w:b/>
          <w:color w:val="000000" w:themeColor="text1"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</w:t>
      </w:r>
      <w:r w:rsidRPr="007E3BE3">
        <w:rPr>
          <w:color w:val="000000" w:themeColor="text1"/>
          <w:lang w:val="en"/>
        </w:rPr>
        <w:t>:</w:t>
      </w:r>
      <w:r w:rsidR="00965144" w:rsidRPr="007E3BE3">
        <w:rPr>
          <w:color w:val="000000" w:themeColor="text1"/>
          <w:lang w:val="en"/>
        </w:rPr>
        <w:tab/>
      </w:r>
      <w:r w:rsidRPr="007E3BE3">
        <w:rPr>
          <w:color w:val="000000" w:themeColor="text1"/>
          <w:lang w:val="en"/>
        </w:rPr>
        <w:t xml:space="preserve">Not for publication, restricted for internal use only.  Used to denote observations that are restricted for internal use only within </w:t>
      </w:r>
      <w:proofErr w:type="spellStart"/>
      <w:r w:rsidRPr="007E3BE3">
        <w:rPr>
          <w:color w:val="000000" w:themeColor="text1"/>
          <w:lang w:val="en"/>
        </w:rPr>
        <w:t>organisations</w:t>
      </w:r>
      <w:proofErr w:type="spellEnd"/>
      <w:r w:rsidRPr="007E3BE3">
        <w:rPr>
          <w:color w:val="000000" w:themeColor="text1"/>
          <w:lang w:val="en"/>
        </w:rPr>
        <w:t xml:space="preserve">  </w:t>
      </w:r>
    </w:p>
    <w:p w14:paraId="1F027F70" w14:textId="7B693735" w:rsidR="007631A9" w:rsidRPr="007E3BE3" w:rsidRDefault="007631A9" w:rsidP="00965144">
      <w:pPr>
        <w:pStyle w:val="ListBullet"/>
        <w:tabs>
          <w:tab w:val="clear" w:pos="360"/>
          <w:tab w:val="num" w:pos="284"/>
        </w:tabs>
        <w:ind w:left="709" w:hanging="709"/>
        <w:jc w:val="both"/>
        <w:rPr>
          <w:color w:val="000000" w:themeColor="text1"/>
          <w:lang w:val="en"/>
        </w:rPr>
      </w:pPr>
      <w:r w:rsidRPr="007E3BE3">
        <w:rPr>
          <w:b/>
          <w:color w:val="000000" w:themeColor="text1"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</w:t>
      </w:r>
      <w:r w:rsidRPr="007E3BE3">
        <w:rPr>
          <w:color w:val="000000" w:themeColor="text1"/>
          <w:lang w:val="en"/>
        </w:rPr>
        <w:t>:</w:t>
      </w:r>
      <w:r w:rsidR="00965144" w:rsidRPr="007E3BE3">
        <w:rPr>
          <w:color w:val="000000" w:themeColor="text1"/>
          <w:lang w:val="en"/>
        </w:rPr>
        <w:tab/>
      </w:r>
      <w:r w:rsidRPr="007E3BE3">
        <w:rPr>
          <w:color w:val="000000" w:themeColor="text1"/>
          <w:lang w:val="en"/>
        </w:rPr>
        <w:t>Confidential statistical information (primary confidentiality) due to identifiable respondents</w:t>
      </w:r>
    </w:p>
    <w:p w14:paraId="3DDFB318" w14:textId="0E77D947" w:rsidR="007631A9" w:rsidRPr="007E3BE3" w:rsidRDefault="007631A9" w:rsidP="00965144">
      <w:pPr>
        <w:pStyle w:val="ListBullet"/>
        <w:keepNext/>
        <w:tabs>
          <w:tab w:val="clear" w:pos="360"/>
          <w:tab w:val="num" w:pos="284"/>
        </w:tabs>
        <w:ind w:left="709" w:hanging="709"/>
        <w:jc w:val="both"/>
        <w:rPr>
          <w:color w:val="000000" w:themeColor="text1"/>
          <w:lang w:val="en"/>
        </w:rPr>
      </w:pPr>
      <w:r w:rsidRPr="007E3BE3">
        <w:rPr>
          <w:b/>
          <w:color w:val="000000" w:themeColor="text1"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</w:t>
      </w:r>
      <w:r w:rsidRPr="007E3BE3">
        <w:rPr>
          <w:color w:val="000000" w:themeColor="text1"/>
          <w:lang w:val="en"/>
        </w:rPr>
        <w:t>:</w:t>
      </w:r>
      <w:r w:rsidR="00965144" w:rsidRPr="007E3BE3">
        <w:rPr>
          <w:color w:val="000000" w:themeColor="text1"/>
          <w:lang w:val="en"/>
        </w:rPr>
        <w:tab/>
      </w:r>
      <w:r w:rsidRPr="007E3BE3">
        <w:rPr>
          <w:color w:val="000000" w:themeColor="text1"/>
          <w:lang w:val="en"/>
        </w:rPr>
        <w:t>Secondary confidentiality set by the sender, not for publication</w:t>
      </w:r>
    </w:p>
    <w:p w14:paraId="49E67D87" w14:textId="26D7375C" w:rsidR="007631A9" w:rsidRDefault="007631A9" w:rsidP="00965144">
      <w:pPr>
        <w:pStyle w:val="ListBullet"/>
        <w:keepNext/>
        <w:tabs>
          <w:tab w:val="clear" w:pos="360"/>
          <w:tab w:val="num" w:pos="284"/>
        </w:tabs>
        <w:ind w:left="709" w:hanging="709"/>
        <w:jc w:val="both"/>
        <w:rPr>
          <w:lang w:val="en"/>
        </w:rPr>
      </w:pPr>
      <w:r w:rsidRPr="007E3BE3">
        <w:rPr>
          <w:b/>
          <w:color w:val="000000" w:themeColor="text1"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Pr="007E3BE3">
        <w:rPr>
          <w:color w:val="000000" w:themeColor="text1"/>
          <w:lang w:val="en"/>
        </w:rPr>
        <w:t>:</w:t>
      </w:r>
      <w:r w:rsidR="00965144" w:rsidRPr="007E3BE3">
        <w:rPr>
          <w:color w:val="000000" w:themeColor="text1"/>
          <w:lang w:val="en"/>
        </w:rPr>
        <w:tab/>
      </w:r>
      <w:r w:rsidRPr="007E3BE3">
        <w:rPr>
          <w:color w:val="000000" w:themeColor="text1"/>
          <w:lang w:val="en"/>
        </w:rPr>
        <w:t xml:space="preserve">Primary </w:t>
      </w:r>
      <w:r w:rsidRPr="007631A9">
        <w:rPr>
          <w:lang w:val="en"/>
        </w:rPr>
        <w:t>confidentiality due to small counts</w:t>
      </w:r>
    </w:p>
    <w:p w14:paraId="2A6A8DC5" w14:textId="77777777" w:rsidR="007631A9" w:rsidRDefault="007631A9" w:rsidP="007631A9">
      <w:pPr>
        <w:pStyle w:val="ListBullet"/>
        <w:numPr>
          <w:ilvl w:val="0"/>
          <w:numId w:val="0"/>
        </w:numPr>
        <w:ind w:left="360"/>
        <w:rPr>
          <w:lang w:val="en"/>
        </w:rPr>
      </w:pPr>
    </w:p>
    <w:p w14:paraId="745D5C6E" w14:textId="304DE136" w:rsidR="008D147E" w:rsidRPr="00965144" w:rsidRDefault="0045496B" w:rsidP="00FE3B69">
      <w:pPr>
        <w:pStyle w:val="Heading3"/>
        <w:jc w:val="both"/>
        <w:rPr>
          <w:rFonts w:ascii="Times New Roman" w:hAnsi="Times New Roman"/>
          <w:sz w:val="24"/>
          <w:szCs w:val="24"/>
          <w:lang w:val="en"/>
        </w:rPr>
      </w:pPr>
      <w:r w:rsidRPr="0045496B">
        <w:rPr>
          <w:rFonts w:ascii="Times New Roman" w:hAnsi="Times New Roman"/>
          <w:sz w:val="24"/>
          <w:szCs w:val="24"/>
        </w:rPr>
        <w:lastRenderedPageBreak/>
        <w:t>F</w:t>
      </w:r>
      <w:proofErr w:type="spellStart"/>
      <w:r w:rsidR="008D147E" w:rsidRPr="00965144">
        <w:rPr>
          <w:rFonts w:ascii="Times New Roman" w:hAnsi="Times New Roman"/>
          <w:sz w:val="24"/>
          <w:szCs w:val="24"/>
          <w:lang w:val="en"/>
        </w:rPr>
        <w:t>orwarding</w:t>
      </w:r>
      <w:proofErr w:type="spellEnd"/>
      <w:r w:rsidR="008D147E" w:rsidRPr="00965144">
        <w:rPr>
          <w:rFonts w:ascii="Times New Roman" w:hAnsi="Times New Roman"/>
          <w:sz w:val="24"/>
          <w:szCs w:val="24"/>
          <w:lang w:val="en"/>
        </w:rPr>
        <w:t xml:space="preserve"> confidential data to secondary recipients</w:t>
      </w:r>
    </w:p>
    <w:p w14:paraId="3CAFDF79" w14:textId="784791A3" w:rsidR="008D147E" w:rsidRDefault="00CA7F38" w:rsidP="00FE3B69">
      <w:pPr>
        <w:jc w:val="both"/>
        <w:rPr>
          <w:lang w:val="en"/>
        </w:rPr>
      </w:pPr>
      <w:r>
        <w:rPr>
          <w:lang w:val="en"/>
        </w:rPr>
        <w:t xml:space="preserve">A sender sends </w:t>
      </w:r>
      <w:r w:rsidR="008D147E">
        <w:rPr>
          <w:lang w:val="en"/>
        </w:rPr>
        <w:t xml:space="preserve">confidential </w:t>
      </w:r>
      <w:r>
        <w:rPr>
          <w:lang w:val="en"/>
        </w:rPr>
        <w:t xml:space="preserve">data </w:t>
      </w:r>
      <w:r w:rsidR="008D147E">
        <w:rPr>
          <w:lang w:val="en"/>
        </w:rPr>
        <w:t xml:space="preserve">to certain primary recipients, and allows </w:t>
      </w:r>
      <w:r>
        <w:rPr>
          <w:lang w:val="en"/>
        </w:rPr>
        <w:t xml:space="preserve">those </w:t>
      </w:r>
      <w:r w:rsidR="008D147E">
        <w:rPr>
          <w:lang w:val="en"/>
        </w:rPr>
        <w:t xml:space="preserve">to forward the confidential data to a restricted </w:t>
      </w:r>
      <w:r>
        <w:rPr>
          <w:lang w:val="en"/>
        </w:rPr>
        <w:t xml:space="preserve">and pre-defined </w:t>
      </w:r>
      <w:r w:rsidR="008D147E">
        <w:rPr>
          <w:lang w:val="en"/>
        </w:rPr>
        <w:t xml:space="preserve">set of secondary recipients. </w:t>
      </w:r>
    </w:p>
    <w:p w14:paraId="421CF402" w14:textId="77777777" w:rsidR="008D147E" w:rsidRDefault="008D147E" w:rsidP="00FE3B69">
      <w:pPr>
        <w:jc w:val="both"/>
        <w:rPr>
          <w:lang w:val="en"/>
        </w:rPr>
      </w:pPr>
    </w:p>
    <w:p w14:paraId="6BC9BC67" w14:textId="6CAB20EF" w:rsidR="008D147E" w:rsidRDefault="008D147E" w:rsidP="00FE3B69">
      <w:pPr>
        <w:jc w:val="both"/>
        <w:rPr>
          <w:lang w:val="en"/>
        </w:rPr>
      </w:pPr>
      <w:r>
        <w:rPr>
          <w:lang w:val="en"/>
        </w:rPr>
        <w:t xml:space="preserve">The observation’s </w:t>
      </w:r>
      <w:proofErr w:type="spellStart"/>
      <w:r>
        <w:rPr>
          <w:lang w:val="en"/>
        </w:rPr>
        <w:t>CONF_STATUS</w:t>
      </w:r>
      <w:proofErr w:type="spellEnd"/>
      <w:r>
        <w:rPr>
          <w:lang w:val="en"/>
        </w:rPr>
        <w:t xml:space="preserve"> attribute should be marked as “</w:t>
      </w:r>
      <w:r w:rsidRPr="002C7DC9">
        <w:rPr>
          <w:lang w:val="en"/>
        </w:rPr>
        <w:t>Not for publication, restricted for internal use only</w:t>
      </w:r>
      <w:r>
        <w:rPr>
          <w:lang w:val="en"/>
        </w:rPr>
        <w:t xml:space="preserve">”.  An additional observation-level attribute: </w:t>
      </w:r>
      <w:proofErr w:type="spellStart"/>
      <w:r>
        <w:rPr>
          <w:lang w:val="en"/>
        </w:rPr>
        <w:t>CONF_</w:t>
      </w:r>
      <w:proofErr w:type="gramStart"/>
      <w:r>
        <w:rPr>
          <w:lang w:val="en"/>
        </w:rPr>
        <w:t>REDIST</w:t>
      </w:r>
      <w:proofErr w:type="spellEnd"/>
      <w:r>
        <w:rPr>
          <w:lang w:val="en"/>
        </w:rPr>
        <w:t>,</w:t>
      </w:r>
      <w:proofErr w:type="gramEnd"/>
      <w:r>
        <w:rPr>
          <w:lang w:val="en"/>
        </w:rPr>
        <w:t xml:space="preserve"> </w:t>
      </w:r>
      <w:r>
        <w:t>defines t</w:t>
      </w:r>
      <w:r w:rsidRPr="00FD3D32">
        <w:t>he secondary recipient(s) to whom the sender allows the primary recipient to forward confidential data</w:t>
      </w:r>
      <w:r>
        <w:rPr>
          <w:rStyle w:val="FootnoteReference"/>
          <w:lang w:val="en"/>
        </w:rPr>
        <w:footnoteReference w:id="2"/>
      </w:r>
      <w:r>
        <w:t xml:space="preserve">.  </w:t>
      </w:r>
      <w:r w:rsidR="00383DA6">
        <w:t xml:space="preserve">See section </w:t>
      </w:r>
      <w:r w:rsidR="00383DA6" w:rsidRPr="00383DA6">
        <w:rPr>
          <w:b/>
        </w:rPr>
        <w:fldChar w:fldCharType="begin"/>
      </w:r>
      <w:r w:rsidR="00383DA6" w:rsidRPr="00383DA6">
        <w:rPr>
          <w:b/>
        </w:rPr>
        <w:instrText xml:space="preserve"> REF _Ref427915823 \h </w:instrText>
      </w:r>
      <w:r w:rsidR="00383DA6">
        <w:rPr>
          <w:b/>
        </w:rPr>
        <w:instrText xml:space="preserve"> \* MERGEFORMAT </w:instrText>
      </w:r>
      <w:r w:rsidR="00383DA6" w:rsidRPr="00383DA6">
        <w:rPr>
          <w:b/>
        </w:rPr>
      </w:r>
      <w:r w:rsidR="00383DA6" w:rsidRPr="00383DA6">
        <w:rPr>
          <w:b/>
        </w:rPr>
        <w:fldChar w:fldCharType="separate"/>
      </w:r>
      <w:r w:rsidR="00383DA6" w:rsidRPr="00383DA6">
        <w:rPr>
          <w:b/>
        </w:rPr>
        <w:t xml:space="preserve">Use of the </w:t>
      </w:r>
      <w:proofErr w:type="spellStart"/>
      <w:r w:rsidR="00383DA6" w:rsidRPr="00383DA6">
        <w:rPr>
          <w:b/>
        </w:rPr>
        <w:t>CONF_REDIST</w:t>
      </w:r>
      <w:proofErr w:type="spellEnd"/>
      <w:r w:rsidR="00383DA6" w:rsidRPr="00383DA6">
        <w:rPr>
          <w:b/>
        </w:rPr>
        <w:t xml:space="preserve"> attribute</w:t>
      </w:r>
      <w:r w:rsidR="00383DA6" w:rsidRPr="00383DA6">
        <w:rPr>
          <w:b/>
        </w:rPr>
        <w:fldChar w:fldCharType="end"/>
      </w:r>
      <w:r w:rsidR="00383DA6">
        <w:t xml:space="preserve"> for the appropriate coding of this attribute.</w:t>
      </w:r>
      <w:r w:rsidR="00383DA6">
        <w:rPr>
          <w:lang w:val="en"/>
        </w:rPr>
        <w:t xml:space="preserve"> </w:t>
      </w:r>
    </w:p>
    <w:p w14:paraId="354DA6CB" w14:textId="77777777" w:rsidR="008D147E" w:rsidRDefault="008D147E" w:rsidP="00FE3B69">
      <w:pPr>
        <w:jc w:val="both"/>
        <w:rPr>
          <w:lang w:val="en"/>
        </w:rPr>
      </w:pPr>
    </w:p>
    <w:p w14:paraId="7F047875" w14:textId="7C1B6170" w:rsidR="00170A05" w:rsidRDefault="00170A05" w:rsidP="00FE3B69">
      <w:pPr>
        <w:keepNext/>
        <w:spacing w:after="120"/>
        <w:jc w:val="both"/>
        <w:rPr>
          <w:lang w:val="en"/>
        </w:rPr>
      </w:pPr>
      <w:r>
        <w:rPr>
          <w:lang w:val="en"/>
        </w:rPr>
        <w:t xml:space="preserve">The forwarding of confidential data </w:t>
      </w:r>
      <w:proofErr w:type="gramStart"/>
      <w:r w:rsidR="007635D7">
        <w:rPr>
          <w:lang w:val="en"/>
        </w:rPr>
        <w:t>is represented</w:t>
      </w:r>
      <w:proofErr w:type="gramEnd"/>
      <w:r w:rsidR="007635D7">
        <w:rPr>
          <w:lang w:val="en"/>
        </w:rPr>
        <w:t xml:space="preserve"> as follows in SDMX:</w:t>
      </w:r>
      <w:r>
        <w:rPr>
          <w:lang w:val="en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3E7877" w14:paraId="73960EFB" w14:textId="77777777" w:rsidTr="003E7877">
        <w:tc>
          <w:tcPr>
            <w:tcW w:w="8522" w:type="dxa"/>
          </w:tcPr>
          <w:p w14:paraId="6FF858E5" w14:textId="77C3D166" w:rsidR="003E7877" w:rsidRPr="003E7877" w:rsidRDefault="003E7877" w:rsidP="00FE3B69">
            <w:pPr>
              <w:pStyle w:val="Heading3"/>
              <w:spacing w:before="120"/>
              <w:jc w:val="both"/>
              <w:rPr>
                <w:rFonts w:ascii="Times New Roman" w:hAnsi="Times New Roman"/>
                <w:sz w:val="22"/>
                <w:lang w:val="en"/>
              </w:rPr>
            </w:pPr>
            <w:r w:rsidRPr="003E7877">
              <w:rPr>
                <w:rFonts w:ascii="Times New Roman" w:hAnsi="Times New Roman"/>
                <w:sz w:val="24"/>
                <w:lang w:val="en"/>
              </w:rPr>
              <w:t xml:space="preserve">SDMX </w:t>
            </w:r>
            <w:r w:rsidRPr="00E85ACD">
              <w:rPr>
                <w:rFonts w:ascii="Times New Roman" w:hAnsi="Times New Roman"/>
                <w:sz w:val="24"/>
                <w:szCs w:val="24"/>
              </w:rPr>
              <w:t>representation</w:t>
            </w:r>
          </w:p>
          <w:p w14:paraId="25774A98" w14:textId="77777777" w:rsidR="003E7877" w:rsidRPr="003E7877" w:rsidRDefault="003E7877" w:rsidP="00FE3B69">
            <w:pPr>
              <w:pStyle w:val="ListParagraph"/>
              <w:keepNext/>
              <w:numPr>
                <w:ilvl w:val="0"/>
                <w:numId w:val="20"/>
              </w:numPr>
              <w:spacing w:before="60" w:after="60"/>
              <w:ind w:left="556" w:hanging="283"/>
              <w:jc w:val="both"/>
              <w:outlineLvl w:val="1"/>
              <w:rPr>
                <w:b/>
                <w:bCs/>
                <w:sz w:val="20"/>
                <w:lang w:val="en"/>
              </w:rPr>
            </w:pPr>
            <w:proofErr w:type="spellStart"/>
            <w:r w:rsidRPr="003E7877">
              <w:rPr>
                <w:b/>
                <w:sz w:val="20"/>
                <w:lang w:val="en"/>
              </w:rPr>
              <w:t>CONF_STATUS</w:t>
            </w:r>
            <w:proofErr w:type="spellEnd"/>
            <w:r w:rsidRPr="003E7877">
              <w:rPr>
                <w:bCs/>
                <w:sz w:val="20"/>
                <w:lang w:val="en"/>
              </w:rPr>
              <w:t>: N;</w:t>
            </w:r>
            <w:r w:rsidRPr="003E7877">
              <w:rPr>
                <w:b/>
                <w:bCs/>
                <w:sz w:val="20"/>
                <w:lang w:val="en"/>
              </w:rPr>
              <w:t xml:space="preserve"> </w:t>
            </w:r>
          </w:p>
          <w:p w14:paraId="40E6DC16" w14:textId="41760631" w:rsidR="003E7877" w:rsidRDefault="003E7877" w:rsidP="00FE3B69">
            <w:pPr>
              <w:pStyle w:val="ListParagraph"/>
              <w:keepNext/>
              <w:numPr>
                <w:ilvl w:val="0"/>
                <w:numId w:val="20"/>
              </w:numPr>
              <w:spacing w:before="60" w:after="120"/>
              <w:ind w:left="556" w:hanging="284"/>
              <w:contextualSpacing w:val="0"/>
              <w:jc w:val="both"/>
              <w:outlineLvl w:val="1"/>
              <w:rPr>
                <w:lang w:val="en"/>
              </w:rPr>
            </w:pPr>
            <w:proofErr w:type="spellStart"/>
            <w:r w:rsidRPr="003E7877">
              <w:rPr>
                <w:b/>
                <w:sz w:val="20"/>
                <w:lang w:val="en"/>
              </w:rPr>
              <w:t>CONF_REDIST</w:t>
            </w:r>
            <w:proofErr w:type="spellEnd"/>
            <w:r w:rsidRPr="003E7877">
              <w:rPr>
                <w:b/>
                <w:sz w:val="20"/>
                <w:lang w:val="en"/>
              </w:rPr>
              <w:t xml:space="preserve"> </w:t>
            </w:r>
            <w:r w:rsidRPr="003E7877">
              <w:rPr>
                <w:sz w:val="20"/>
                <w:lang w:val="en"/>
              </w:rPr>
              <w:t>(Observation, Conditional): [</w:t>
            </w:r>
            <w:proofErr w:type="spellStart"/>
            <w:r w:rsidRPr="003E7877">
              <w:rPr>
                <w:sz w:val="20"/>
                <w:lang w:val="en"/>
              </w:rPr>
              <w:t>Organisation</w:t>
            </w:r>
            <w:proofErr w:type="spellEnd"/>
            <w:r w:rsidRPr="003E7877">
              <w:rPr>
                <w:sz w:val="20"/>
                <w:lang w:val="en"/>
              </w:rPr>
              <w:t>(s)];</w:t>
            </w:r>
          </w:p>
        </w:tc>
      </w:tr>
    </w:tbl>
    <w:p w14:paraId="6749E420" w14:textId="3DCDE30A" w:rsidR="009A355A" w:rsidRPr="00965144" w:rsidRDefault="0045496B" w:rsidP="00FE3B69">
      <w:pPr>
        <w:pStyle w:val="Heading3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</w:t>
      </w:r>
      <w:proofErr w:type="spellStart"/>
      <w:r w:rsidR="008D147E" w:rsidRPr="00965144"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z w:val="24"/>
          <w:szCs w:val="24"/>
        </w:rPr>
        <w:t>ing</w:t>
      </w:r>
      <w:proofErr w:type="spellEnd"/>
      <w:r w:rsidR="008D147E" w:rsidRPr="00965144">
        <w:rPr>
          <w:rFonts w:ascii="Times New Roman" w:hAnsi="Times New Roman"/>
          <w:sz w:val="24"/>
          <w:szCs w:val="24"/>
        </w:rPr>
        <w:t xml:space="preserve"> e</w:t>
      </w:r>
      <w:proofErr w:type="spellStart"/>
      <w:r w:rsidR="00161499" w:rsidRPr="00965144">
        <w:rPr>
          <w:rFonts w:ascii="Times New Roman" w:hAnsi="Times New Roman"/>
          <w:sz w:val="24"/>
          <w:szCs w:val="24"/>
          <w:lang w:val="en"/>
        </w:rPr>
        <w:t>mbargo</w:t>
      </w:r>
      <w:proofErr w:type="spellEnd"/>
      <w:r w:rsidR="0000718D" w:rsidRPr="00965144">
        <w:rPr>
          <w:rFonts w:ascii="Times New Roman" w:hAnsi="Times New Roman"/>
          <w:sz w:val="24"/>
          <w:szCs w:val="24"/>
          <w:lang w:val="en"/>
        </w:rPr>
        <w:t xml:space="preserve"> </w:t>
      </w:r>
      <w:r w:rsidR="008D147E" w:rsidRPr="00965144">
        <w:rPr>
          <w:rFonts w:ascii="Times New Roman" w:hAnsi="Times New Roman"/>
          <w:sz w:val="24"/>
          <w:szCs w:val="24"/>
          <w:lang w:val="en"/>
        </w:rPr>
        <w:t>information</w:t>
      </w:r>
      <w:r w:rsidR="00170A05" w:rsidRPr="00965144">
        <w:rPr>
          <w:rFonts w:ascii="Times New Roman" w:hAnsi="Times New Roman"/>
          <w:sz w:val="24"/>
          <w:szCs w:val="24"/>
          <w:lang w:val="en"/>
        </w:rPr>
        <w:t xml:space="preserve"> to a data message</w:t>
      </w:r>
    </w:p>
    <w:p w14:paraId="18C19A96" w14:textId="1F9CE582" w:rsidR="00B774B9" w:rsidRDefault="00A274EE" w:rsidP="0045496B">
      <w:pPr>
        <w:spacing w:after="120"/>
        <w:jc w:val="both"/>
        <w:rPr>
          <w:lang w:val="en"/>
        </w:rPr>
      </w:pPr>
      <w:r>
        <w:rPr>
          <w:lang w:val="en"/>
        </w:rPr>
        <w:t xml:space="preserve">Following the definition of embargo, </w:t>
      </w:r>
      <w:r w:rsidR="007635D7">
        <w:rPr>
          <w:lang w:val="en"/>
        </w:rPr>
        <w:t xml:space="preserve">the recipient must keep the </w:t>
      </w:r>
      <w:r>
        <w:rPr>
          <w:lang w:val="en"/>
        </w:rPr>
        <w:t>d</w:t>
      </w:r>
      <w:r w:rsidR="009A355A">
        <w:rPr>
          <w:lang w:val="en"/>
        </w:rPr>
        <w:t xml:space="preserve">ata confidential until a </w:t>
      </w:r>
      <w:r w:rsidR="007635D7">
        <w:rPr>
          <w:lang w:val="en"/>
        </w:rPr>
        <w:t xml:space="preserve">pre-defined </w:t>
      </w:r>
      <w:r w:rsidR="009A355A">
        <w:rPr>
          <w:lang w:val="en"/>
        </w:rPr>
        <w:t>point in time</w:t>
      </w:r>
      <w:r w:rsidR="00CB1921">
        <w:rPr>
          <w:lang w:val="en"/>
        </w:rPr>
        <w:t xml:space="preserve"> (embargo)</w:t>
      </w:r>
      <w:r w:rsidR="00B774B9">
        <w:rPr>
          <w:lang w:val="en"/>
        </w:rPr>
        <w:t xml:space="preserve"> </w:t>
      </w:r>
      <w:r w:rsidR="007635D7">
        <w:rPr>
          <w:lang w:val="en"/>
        </w:rPr>
        <w:t>when it</w:t>
      </w:r>
      <w:r w:rsidR="008A32EF">
        <w:rPr>
          <w:lang w:val="en"/>
        </w:rPr>
        <w:t xml:space="preserve"> becomes public</w:t>
      </w:r>
      <w:r w:rsidR="009A355A">
        <w:rPr>
          <w:lang w:val="en"/>
        </w:rPr>
        <w:t>.</w:t>
      </w:r>
      <w:r w:rsidR="00E61D7A">
        <w:rPr>
          <w:lang w:val="en"/>
        </w:rPr>
        <w:t xml:space="preserve">  </w:t>
      </w:r>
    </w:p>
    <w:p w14:paraId="57F0CE80" w14:textId="0F4337DA" w:rsidR="0045496B" w:rsidRDefault="0045496B" w:rsidP="00FE3B69">
      <w:pPr>
        <w:jc w:val="both"/>
        <w:rPr>
          <w:lang w:val="en"/>
        </w:rPr>
      </w:pPr>
      <w:r>
        <w:rPr>
          <w:lang w:val="en"/>
        </w:rPr>
        <w:t xml:space="preserve">Two cases </w:t>
      </w:r>
      <w:proofErr w:type="gramStart"/>
      <w:r>
        <w:rPr>
          <w:lang w:val="en"/>
        </w:rPr>
        <w:t>can be distinguished</w:t>
      </w:r>
      <w:proofErr w:type="gramEnd"/>
      <w:r>
        <w:rPr>
          <w:lang w:val="en"/>
        </w:rPr>
        <w:t>:</w:t>
      </w:r>
    </w:p>
    <w:p w14:paraId="5BC42819" w14:textId="4B1B5E8B" w:rsidR="0045496B" w:rsidRDefault="0045496B" w:rsidP="0045496B">
      <w:pPr>
        <w:pStyle w:val="ListParagraph"/>
        <w:numPr>
          <w:ilvl w:val="0"/>
          <w:numId w:val="27"/>
        </w:numPr>
        <w:jc w:val="both"/>
        <w:rPr>
          <w:lang w:val="en"/>
        </w:rPr>
      </w:pPr>
      <w:r>
        <w:rPr>
          <w:lang w:val="en"/>
        </w:rPr>
        <w:t>Allowing privileged access to embargoed data</w:t>
      </w:r>
    </w:p>
    <w:p w14:paraId="70DC3648" w14:textId="073D979A" w:rsidR="0045496B" w:rsidRPr="0045496B" w:rsidRDefault="0045496B" w:rsidP="0045496B">
      <w:pPr>
        <w:pStyle w:val="ListParagraph"/>
        <w:numPr>
          <w:ilvl w:val="0"/>
          <w:numId w:val="27"/>
        </w:numPr>
        <w:jc w:val="both"/>
        <w:rPr>
          <w:lang w:val="en"/>
        </w:rPr>
      </w:pPr>
      <w:r w:rsidRPr="0045496B">
        <w:rPr>
          <w:lang w:val="en"/>
        </w:rPr>
        <w:t>Enabling the frontloading of data into systems</w:t>
      </w:r>
    </w:p>
    <w:p w14:paraId="4C2EDB1E" w14:textId="77777777" w:rsidR="0045496B" w:rsidRDefault="0045496B" w:rsidP="00FE3B69">
      <w:pPr>
        <w:jc w:val="both"/>
        <w:rPr>
          <w:lang w:val="en"/>
        </w:rPr>
      </w:pPr>
    </w:p>
    <w:p w14:paraId="74C599FA" w14:textId="77777777" w:rsidR="008D147E" w:rsidRPr="0045496B" w:rsidRDefault="008D147E" w:rsidP="00FE3B69">
      <w:pPr>
        <w:keepNext/>
        <w:spacing w:after="120"/>
        <w:jc w:val="both"/>
        <w:rPr>
          <w:b/>
          <w:i/>
          <w:lang w:val="en"/>
        </w:rPr>
      </w:pPr>
      <w:r w:rsidRPr="0045496B">
        <w:rPr>
          <w:b/>
          <w:i/>
          <w:lang w:val="en"/>
        </w:rPr>
        <w:t>Allow</w:t>
      </w:r>
      <w:r w:rsidR="00170A05" w:rsidRPr="0045496B">
        <w:rPr>
          <w:b/>
          <w:i/>
          <w:lang w:val="en"/>
        </w:rPr>
        <w:t>ing</w:t>
      </w:r>
      <w:r w:rsidRPr="0045496B">
        <w:rPr>
          <w:b/>
          <w:i/>
          <w:lang w:val="en"/>
        </w:rPr>
        <w:t xml:space="preserve"> </w:t>
      </w:r>
      <w:r w:rsidR="00161499" w:rsidRPr="0045496B">
        <w:rPr>
          <w:b/>
          <w:i/>
          <w:lang w:val="en"/>
        </w:rPr>
        <w:t>p</w:t>
      </w:r>
      <w:r w:rsidRPr="0045496B">
        <w:rPr>
          <w:b/>
          <w:i/>
          <w:lang w:val="en"/>
        </w:rPr>
        <w:t>rivileged access to embargoed data</w:t>
      </w:r>
    </w:p>
    <w:p w14:paraId="7E62F8AF" w14:textId="67B412A3" w:rsidR="00822FB7" w:rsidRDefault="00B774B9" w:rsidP="00FE3B69">
      <w:pPr>
        <w:keepNext/>
        <w:spacing w:after="120"/>
        <w:jc w:val="both"/>
        <w:rPr>
          <w:lang w:val="en"/>
        </w:rPr>
      </w:pPr>
      <w:r>
        <w:rPr>
          <w:lang w:val="en"/>
        </w:rPr>
        <w:t>If the goal is to allow</w:t>
      </w:r>
      <w:r w:rsidRPr="00B774B9">
        <w:rPr>
          <w:lang w:val="en"/>
        </w:rPr>
        <w:t xml:space="preserve"> </w:t>
      </w:r>
      <w:r w:rsidR="00A379E1">
        <w:rPr>
          <w:lang w:val="en"/>
        </w:rPr>
        <w:t xml:space="preserve">the data recipient to have </w:t>
      </w:r>
      <w:r>
        <w:rPr>
          <w:lang w:val="en"/>
        </w:rPr>
        <w:t xml:space="preserve">privileged access to embargoed </w:t>
      </w:r>
      <w:r w:rsidR="00FC102A">
        <w:rPr>
          <w:lang w:val="en"/>
        </w:rPr>
        <w:t xml:space="preserve">observations in a </w:t>
      </w:r>
      <w:r w:rsidR="00170A05">
        <w:rPr>
          <w:lang w:val="en"/>
        </w:rPr>
        <w:t>data message</w:t>
      </w:r>
      <w:r w:rsidR="00FC102A">
        <w:rPr>
          <w:lang w:val="en"/>
        </w:rPr>
        <w:t xml:space="preserve"> (message)</w:t>
      </w:r>
      <w:r>
        <w:rPr>
          <w:lang w:val="en"/>
        </w:rPr>
        <w:t xml:space="preserve">, the </w:t>
      </w:r>
      <w:r w:rsidR="00405708">
        <w:rPr>
          <w:lang w:val="en"/>
        </w:rPr>
        <w:t>embargoed observation’s</w:t>
      </w:r>
      <w:r>
        <w:rPr>
          <w:lang w:val="en"/>
        </w:rPr>
        <w:t xml:space="preserve"> </w:t>
      </w:r>
      <w:proofErr w:type="spellStart"/>
      <w:r w:rsidR="00034D38">
        <w:rPr>
          <w:lang w:val="en"/>
        </w:rPr>
        <w:t>CONF_STATUS</w:t>
      </w:r>
      <w:proofErr w:type="spellEnd"/>
      <w:r w:rsidR="00034D38">
        <w:rPr>
          <w:lang w:val="en"/>
        </w:rPr>
        <w:t xml:space="preserve"> attribute </w:t>
      </w:r>
      <w:r>
        <w:rPr>
          <w:lang w:val="en"/>
        </w:rPr>
        <w:t xml:space="preserve">should be coded as </w:t>
      </w:r>
      <w:r w:rsidR="002C7DC9">
        <w:rPr>
          <w:lang w:val="en"/>
        </w:rPr>
        <w:t>“</w:t>
      </w:r>
      <w:r w:rsidR="00FC08A6">
        <w:rPr>
          <w:lang w:val="en"/>
        </w:rPr>
        <w:t>E:</w:t>
      </w:r>
      <w:r w:rsidR="00FC08A6" w:rsidRPr="00FC08A6">
        <w:t xml:space="preserve"> </w:t>
      </w:r>
      <w:r w:rsidR="00FC08A6" w:rsidRPr="00FC08A6">
        <w:rPr>
          <w:lang w:val="en"/>
        </w:rPr>
        <w:t>Not for publication until the embargo time</w:t>
      </w:r>
      <w:r w:rsidR="00A379E1">
        <w:rPr>
          <w:lang w:val="en"/>
        </w:rPr>
        <w:t xml:space="preserve"> expires</w:t>
      </w:r>
      <w:r w:rsidR="00FC08A6" w:rsidRPr="00FC08A6">
        <w:rPr>
          <w:lang w:val="en"/>
        </w:rPr>
        <w:t>; free for publication after the embargo time</w:t>
      </w:r>
      <w:r w:rsidR="00A379E1">
        <w:rPr>
          <w:lang w:val="en"/>
        </w:rPr>
        <w:t xml:space="preserve"> expires</w:t>
      </w:r>
      <w:r w:rsidR="00FC08A6" w:rsidRPr="00FC08A6">
        <w:rPr>
          <w:lang w:val="en"/>
        </w:rPr>
        <w:t>.</w:t>
      </w:r>
      <w:r w:rsidR="002C7DC9">
        <w:rPr>
          <w:lang w:val="en"/>
        </w:rPr>
        <w:t xml:space="preserve">” </w:t>
      </w:r>
      <w:r>
        <w:rPr>
          <w:lang w:val="en"/>
        </w:rPr>
        <w:t xml:space="preserve">with </w:t>
      </w:r>
      <w:r w:rsidR="00FD783F">
        <w:rPr>
          <w:lang w:val="en"/>
        </w:rPr>
        <w:t>an</w:t>
      </w:r>
      <w:r w:rsidR="00405708">
        <w:rPr>
          <w:lang w:val="en"/>
        </w:rPr>
        <w:t xml:space="preserve"> </w:t>
      </w:r>
      <w:r w:rsidR="002C7DC9">
        <w:t xml:space="preserve">observation level attribute </w:t>
      </w:r>
      <w:proofErr w:type="spellStart"/>
      <w:r w:rsidR="002C7DC9">
        <w:t>EMBARGO_TIME</w:t>
      </w:r>
      <w:proofErr w:type="spellEnd"/>
      <w:r w:rsidR="002C7DC9">
        <w:t xml:space="preserve"> (date/time/time zone)</w:t>
      </w:r>
      <w:r>
        <w:rPr>
          <w:lang w:val="en"/>
        </w:rPr>
        <w:t>.</w:t>
      </w:r>
      <w:r w:rsidR="00822FB7">
        <w:rPr>
          <w:lang w:val="en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3E7877" w14:paraId="38874290" w14:textId="77777777" w:rsidTr="003E7877">
        <w:tc>
          <w:tcPr>
            <w:tcW w:w="8522" w:type="dxa"/>
          </w:tcPr>
          <w:p w14:paraId="3B9098A0" w14:textId="77777777" w:rsidR="003E7877" w:rsidRPr="003E7877" w:rsidRDefault="003E7877" w:rsidP="00FE3B69">
            <w:pPr>
              <w:pStyle w:val="Heading3"/>
              <w:spacing w:before="120"/>
              <w:jc w:val="both"/>
              <w:rPr>
                <w:rFonts w:ascii="Times New Roman" w:hAnsi="Times New Roman"/>
                <w:sz w:val="24"/>
                <w:lang w:val="en"/>
              </w:rPr>
            </w:pPr>
            <w:r w:rsidRPr="003E7877">
              <w:rPr>
                <w:rFonts w:ascii="Times New Roman" w:hAnsi="Times New Roman"/>
                <w:sz w:val="24"/>
                <w:lang w:val="en"/>
              </w:rPr>
              <w:t>SDMX representation</w:t>
            </w:r>
          </w:p>
          <w:p w14:paraId="353C0BBD" w14:textId="77777777" w:rsidR="003E7877" w:rsidRPr="003E7877" w:rsidRDefault="003E7877" w:rsidP="00FE3B69">
            <w:pPr>
              <w:pStyle w:val="ListParagraph"/>
              <w:keepNext/>
              <w:numPr>
                <w:ilvl w:val="0"/>
                <w:numId w:val="20"/>
              </w:numPr>
              <w:spacing w:before="60" w:after="60"/>
              <w:ind w:left="556" w:hanging="283"/>
              <w:jc w:val="both"/>
              <w:outlineLvl w:val="1"/>
              <w:rPr>
                <w:b/>
                <w:bCs/>
                <w:sz w:val="26"/>
                <w:szCs w:val="26"/>
                <w:lang w:val="en"/>
              </w:rPr>
            </w:pPr>
            <w:proofErr w:type="spellStart"/>
            <w:r w:rsidRPr="00E85ACD">
              <w:rPr>
                <w:b/>
                <w:sz w:val="20"/>
                <w:lang w:val="en"/>
              </w:rPr>
              <w:t>CONF_STATUS</w:t>
            </w:r>
            <w:proofErr w:type="spellEnd"/>
            <w:r w:rsidRPr="003E7877">
              <w:rPr>
                <w:sz w:val="20"/>
                <w:lang w:val="en"/>
              </w:rPr>
              <w:t xml:space="preserve">: E; </w:t>
            </w:r>
          </w:p>
          <w:p w14:paraId="58E08626" w14:textId="62C53D26" w:rsidR="003E7877" w:rsidRDefault="003E7877" w:rsidP="00A379E1">
            <w:pPr>
              <w:pStyle w:val="ListParagraph"/>
              <w:keepNext/>
              <w:numPr>
                <w:ilvl w:val="0"/>
                <w:numId w:val="20"/>
              </w:numPr>
              <w:spacing w:before="60" w:after="120"/>
              <w:ind w:left="556" w:hanging="284"/>
              <w:jc w:val="both"/>
              <w:outlineLvl w:val="1"/>
              <w:rPr>
                <w:lang w:val="en"/>
              </w:rPr>
            </w:pPr>
            <w:proofErr w:type="spellStart"/>
            <w:r w:rsidRPr="00E85ACD">
              <w:rPr>
                <w:b/>
                <w:sz w:val="20"/>
                <w:lang w:val="en"/>
              </w:rPr>
              <w:t>EMBARGO</w:t>
            </w:r>
            <w:r w:rsidRPr="003E7877">
              <w:rPr>
                <w:sz w:val="20"/>
                <w:lang w:val="en"/>
              </w:rPr>
              <w:t>_</w:t>
            </w:r>
            <w:r w:rsidRPr="00E85ACD">
              <w:rPr>
                <w:b/>
                <w:sz w:val="20"/>
                <w:lang w:val="en"/>
              </w:rPr>
              <w:t>TIME</w:t>
            </w:r>
            <w:proofErr w:type="spellEnd"/>
            <w:r w:rsidRPr="003E7877">
              <w:rPr>
                <w:sz w:val="20"/>
                <w:lang w:val="en"/>
              </w:rPr>
              <w:t xml:space="preserve"> (Observation, Conditional): [timestamp]</w:t>
            </w:r>
          </w:p>
        </w:tc>
      </w:tr>
    </w:tbl>
    <w:p w14:paraId="76E14CCA" w14:textId="0508CE4D" w:rsidR="00822FB7" w:rsidRDefault="00822FB7" w:rsidP="00FE3B69">
      <w:pPr>
        <w:spacing w:before="240" w:after="240"/>
        <w:jc w:val="both"/>
        <w:rPr>
          <w:lang w:val="en"/>
        </w:rPr>
      </w:pPr>
      <w:r>
        <w:rPr>
          <w:lang w:val="en"/>
        </w:rPr>
        <w:t>Including a time</w:t>
      </w:r>
      <w:r w:rsidR="00575105">
        <w:rPr>
          <w:lang w:val="en"/>
        </w:rPr>
        <w:t xml:space="preserve"> </w:t>
      </w:r>
      <w:r>
        <w:rPr>
          <w:lang w:val="en"/>
        </w:rPr>
        <w:t xml:space="preserve">zone </w:t>
      </w:r>
      <w:proofErr w:type="gramStart"/>
      <w:r>
        <w:rPr>
          <w:lang w:val="en"/>
        </w:rPr>
        <w:t>is strongly recommended</w:t>
      </w:r>
      <w:proofErr w:type="gramEnd"/>
      <w:r>
        <w:rPr>
          <w:lang w:val="en"/>
        </w:rPr>
        <w:t xml:space="preserve"> and the best case is to use the </w:t>
      </w:r>
      <w:proofErr w:type="spellStart"/>
      <w:r>
        <w:rPr>
          <w:lang w:val="en"/>
        </w:rPr>
        <w:t>UTC</w:t>
      </w:r>
      <w:proofErr w:type="spellEnd"/>
      <w:r w:rsidR="00A379E1">
        <w:rPr>
          <w:lang w:val="en"/>
        </w:rPr>
        <w:t xml:space="preserve"> (Coordinated Universal Time)</w:t>
      </w:r>
      <w:r>
        <w:rPr>
          <w:lang w:val="en"/>
        </w:rPr>
        <w:t xml:space="preserve"> time</w:t>
      </w:r>
      <w:r w:rsidR="00575105">
        <w:rPr>
          <w:lang w:val="en"/>
        </w:rPr>
        <w:t xml:space="preserve"> standard</w:t>
      </w:r>
      <w:r>
        <w:rPr>
          <w:lang w:val="en"/>
        </w:rPr>
        <w:t>.</w:t>
      </w:r>
      <w:r w:rsidR="00A379E1">
        <w:rPr>
          <w:lang w:val="en"/>
        </w:rPr>
        <w:t xml:space="preserve"> </w:t>
      </w:r>
      <w:r>
        <w:rPr>
          <w:lang w:val="en"/>
        </w:rPr>
        <w:t xml:space="preserve"> However, if no time zone </w:t>
      </w:r>
      <w:proofErr w:type="gramStart"/>
      <w:r>
        <w:rPr>
          <w:lang w:val="en"/>
        </w:rPr>
        <w:t>is provided</w:t>
      </w:r>
      <w:proofErr w:type="gramEnd"/>
      <w:r>
        <w:rPr>
          <w:lang w:val="en"/>
        </w:rPr>
        <w:t xml:space="preserve"> then the time</w:t>
      </w:r>
      <w:r w:rsidR="00575105">
        <w:rPr>
          <w:lang w:val="en"/>
        </w:rPr>
        <w:t xml:space="preserve"> </w:t>
      </w:r>
      <w:r>
        <w:rPr>
          <w:lang w:val="en"/>
        </w:rPr>
        <w:t xml:space="preserve">zone of the recipient is assumed. </w:t>
      </w:r>
    </w:p>
    <w:p w14:paraId="2F1279FE" w14:textId="5AE44FDB" w:rsidR="00822FB7" w:rsidRDefault="00E81D34" w:rsidP="00A379E1">
      <w:pPr>
        <w:keepNext/>
        <w:spacing w:after="120"/>
        <w:jc w:val="both"/>
        <w:rPr>
          <w:lang w:val="en"/>
        </w:rPr>
      </w:pPr>
      <w:r>
        <w:rPr>
          <w:lang w:val="en"/>
        </w:rPr>
        <w:t>These two examples represent the same time</w:t>
      </w:r>
      <w:r w:rsidR="007D40CF">
        <w:rPr>
          <w:lang w:val="en"/>
        </w:rPr>
        <w:t xml:space="preserve"> for a recipient established in </w:t>
      </w:r>
      <w:r w:rsidR="00575105">
        <w:rPr>
          <w:lang w:val="en"/>
        </w:rPr>
        <w:t xml:space="preserve">the </w:t>
      </w:r>
      <w:r w:rsidR="007A73A5">
        <w:rPr>
          <w:lang w:val="en"/>
        </w:rPr>
        <w:t>Central European t</w:t>
      </w:r>
      <w:r w:rsidR="00575105" w:rsidRPr="00575105">
        <w:rPr>
          <w:lang w:val="en"/>
        </w:rPr>
        <w:t xml:space="preserve">ime </w:t>
      </w:r>
      <w:r w:rsidR="007A73A5">
        <w:rPr>
          <w:lang w:val="en"/>
        </w:rPr>
        <w:t>z</w:t>
      </w:r>
      <w:r w:rsidR="00575105" w:rsidRPr="00575105">
        <w:rPr>
          <w:lang w:val="en"/>
        </w:rPr>
        <w:t>on</w:t>
      </w:r>
      <w:r w:rsidR="00575105">
        <w:rPr>
          <w:lang w:val="en"/>
        </w:rPr>
        <w:t>e</w:t>
      </w:r>
      <w:r w:rsidR="007A73A5">
        <w:rPr>
          <w:lang w:val="en"/>
        </w:rPr>
        <w:t xml:space="preserve"> (e.g. Germany, Norway, </w:t>
      </w:r>
      <w:proofErr w:type="gramStart"/>
      <w:r w:rsidR="007A73A5">
        <w:rPr>
          <w:lang w:val="en"/>
        </w:rPr>
        <w:t>G</w:t>
      </w:r>
      <w:r w:rsidR="00575105">
        <w:rPr>
          <w:lang w:val="en"/>
        </w:rPr>
        <w:t>ibraltar</w:t>
      </w:r>
      <w:proofErr w:type="gramEnd"/>
      <w:r w:rsidR="00575105">
        <w:rPr>
          <w:lang w:val="en"/>
        </w:rPr>
        <w:t>)</w:t>
      </w:r>
      <w:r w:rsidR="00822FB7">
        <w:rPr>
          <w:lang w:val="en"/>
        </w:rPr>
        <w:t>:</w:t>
      </w:r>
    </w:p>
    <w:p w14:paraId="138E461B" w14:textId="4B341760" w:rsidR="00822FB7" w:rsidRDefault="00E81D34" w:rsidP="00A379E1">
      <w:pPr>
        <w:pStyle w:val="ListBullet"/>
        <w:keepNext/>
        <w:tabs>
          <w:tab w:val="clear" w:pos="360"/>
          <w:tab w:val="num" w:pos="720"/>
        </w:tabs>
        <w:ind w:left="720"/>
        <w:jc w:val="both"/>
        <w:rPr>
          <w:lang w:val="en"/>
        </w:rPr>
      </w:pPr>
      <w:r>
        <w:rPr>
          <w:lang w:val="en"/>
        </w:rPr>
        <w:t xml:space="preserve">(Recommended) With </w:t>
      </w:r>
      <w:proofErr w:type="spellStart"/>
      <w:r>
        <w:rPr>
          <w:lang w:val="en"/>
        </w:rPr>
        <w:t>UTC</w:t>
      </w:r>
      <w:proofErr w:type="spellEnd"/>
      <w:r>
        <w:rPr>
          <w:lang w:val="en"/>
        </w:rPr>
        <w:t xml:space="preserve"> indicator: </w:t>
      </w:r>
      <w:proofErr w:type="spellStart"/>
      <w:r w:rsidR="00822FB7" w:rsidRPr="00822FB7">
        <w:rPr>
          <w:lang w:val="en"/>
        </w:rPr>
        <w:t>2017-12-15T14:02:29Z</w:t>
      </w:r>
      <w:proofErr w:type="spellEnd"/>
    </w:p>
    <w:p w14:paraId="0E08AA30" w14:textId="77777777" w:rsidR="00E81D34" w:rsidRDefault="00E81D34" w:rsidP="00FE3B69">
      <w:pPr>
        <w:pStyle w:val="ListBullet"/>
        <w:tabs>
          <w:tab w:val="clear" w:pos="360"/>
          <w:tab w:val="num" w:pos="720"/>
        </w:tabs>
        <w:ind w:left="720"/>
        <w:jc w:val="both"/>
        <w:rPr>
          <w:lang w:val="en"/>
        </w:rPr>
      </w:pPr>
      <w:r>
        <w:rPr>
          <w:lang w:val="en"/>
        </w:rPr>
        <w:t xml:space="preserve">With </w:t>
      </w:r>
      <w:proofErr w:type="spellStart"/>
      <w:r>
        <w:rPr>
          <w:lang w:val="en"/>
        </w:rPr>
        <w:t>timezone</w:t>
      </w:r>
      <w:proofErr w:type="spellEnd"/>
      <w:r>
        <w:rPr>
          <w:lang w:val="en"/>
        </w:rPr>
        <w:t xml:space="preserve"> indicator: </w:t>
      </w:r>
      <w:proofErr w:type="spellStart"/>
      <w:r w:rsidRPr="00822FB7">
        <w:rPr>
          <w:lang w:val="en"/>
        </w:rPr>
        <w:t>2017-12-15T1</w:t>
      </w:r>
      <w:r>
        <w:rPr>
          <w:lang w:val="en"/>
        </w:rPr>
        <w:t>5</w:t>
      </w:r>
      <w:r w:rsidRPr="00822FB7">
        <w:rPr>
          <w:lang w:val="en"/>
        </w:rPr>
        <w:t>:02:29+0</w:t>
      </w:r>
      <w:r>
        <w:rPr>
          <w:lang w:val="en"/>
        </w:rPr>
        <w:t>1</w:t>
      </w:r>
      <w:r w:rsidRPr="00822FB7">
        <w:rPr>
          <w:lang w:val="en"/>
        </w:rPr>
        <w:t>:00</w:t>
      </w:r>
      <w:proofErr w:type="spellEnd"/>
    </w:p>
    <w:p w14:paraId="5A1410B6" w14:textId="77777777" w:rsidR="00E81D34" w:rsidRDefault="00E81D34" w:rsidP="00FE3B69">
      <w:pPr>
        <w:pStyle w:val="ListBullet"/>
        <w:numPr>
          <w:ilvl w:val="0"/>
          <w:numId w:val="0"/>
        </w:numPr>
        <w:ind w:left="360"/>
        <w:jc w:val="both"/>
        <w:rPr>
          <w:lang w:val="en"/>
        </w:rPr>
      </w:pPr>
    </w:p>
    <w:p w14:paraId="00740D97" w14:textId="7869C999" w:rsidR="008D147E" w:rsidRPr="0045496B" w:rsidRDefault="00170A05" w:rsidP="00FE3B69">
      <w:pPr>
        <w:keepNext/>
        <w:jc w:val="both"/>
        <w:rPr>
          <w:b/>
          <w:i/>
          <w:lang w:val="en"/>
        </w:rPr>
      </w:pPr>
      <w:r w:rsidRPr="0045496B">
        <w:rPr>
          <w:b/>
          <w:i/>
          <w:lang w:val="en"/>
        </w:rPr>
        <w:lastRenderedPageBreak/>
        <w:t>Enabling the</w:t>
      </w:r>
      <w:r w:rsidR="008D147E" w:rsidRPr="0045496B">
        <w:rPr>
          <w:b/>
          <w:i/>
          <w:lang w:val="en"/>
        </w:rPr>
        <w:t xml:space="preserve"> frontloading of data into systems</w:t>
      </w:r>
    </w:p>
    <w:p w14:paraId="7F3A01A4" w14:textId="7D808C0C" w:rsidR="00161499" w:rsidRDefault="00405708" w:rsidP="00FE3B69">
      <w:pPr>
        <w:keepNext/>
        <w:jc w:val="both"/>
      </w:pPr>
      <w:r>
        <w:rPr>
          <w:lang w:val="en"/>
        </w:rPr>
        <w:t xml:space="preserve">If the </w:t>
      </w:r>
      <w:r w:rsidR="00B774B9">
        <w:rPr>
          <w:lang w:val="en"/>
        </w:rPr>
        <w:t xml:space="preserve">goal </w:t>
      </w:r>
      <w:r>
        <w:rPr>
          <w:lang w:val="en"/>
        </w:rPr>
        <w:t xml:space="preserve">is </w:t>
      </w:r>
      <w:r w:rsidR="00B774B9">
        <w:rPr>
          <w:lang w:val="en"/>
        </w:rPr>
        <w:t xml:space="preserve">to allow frontloading </w:t>
      </w:r>
      <w:r>
        <w:rPr>
          <w:lang w:val="en"/>
        </w:rPr>
        <w:t xml:space="preserve">of a </w:t>
      </w:r>
      <w:r w:rsidR="00B774B9">
        <w:rPr>
          <w:lang w:val="en"/>
        </w:rPr>
        <w:t xml:space="preserve">whole </w:t>
      </w:r>
      <w:r w:rsidR="00170A05">
        <w:rPr>
          <w:lang w:val="en"/>
        </w:rPr>
        <w:t>data message</w:t>
      </w:r>
      <w:r w:rsidR="00B774B9">
        <w:rPr>
          <w:lang w:val="en"/>
        </w:rPr>
        <w:t xml:space="preserve"> into systems so that </w:t>
      </w:r>
      <w:r w:rsidR="00A274EE">
        <w:rPr>
          <w:lang w:val="en"/>
        </w:rPr>
        <w:t xml:space="preserve">the data </w:t>
      </w:r>
      <w:proofErr w:type="gramStart"/>
      <w:r w:rsidR="00B774B9">
        <w:rPr>
          <w:lang w:val="en"/>
        </w:rPr>
        <w:t>can be made</w:t>
      </w:r>
      <w:proofErr w:type="gramEnd"/>
      <w:r w:rsidR="00B774B9">
        <w:rPr>
          <w:lang w:val="en"/>
        </w:rPr>
        <w:t xml:space="preserve"> visible to users at the expiry of the embargo date/time</w:t>
      </w:r>
      <w:r>
        <w:rPr>
          <w:lang w:val="en"/>
        </w:rPr>
        <w:t>, the header section of the message should contain an embargo date</w:t>
      </w:r>
      <w:r w:rsidR="00FD783F">
        <w:rPr>
          <w:lang w:val="en"/>
        </w:rPr>
        <w:t>/time</w:t>
      </w:r>
      <w:r w:rsidR="007A73A5">
        <w:rPr>
          <w:lang w:val="en"/>
        </w:rPr>
        <w:t xml:space="preserve"> attribute</w:t>
      </w:r>
      <w:r>
        <w:rPr>
          <w:lang w:val="en"/>
        </w:rPr>
        <w:t xml:space="preserve">.  This implies that all </w:t>
      </w:r>
      <w:r w:rsidR="00A274EE">
        <w:rPr>
          <w:lang w:val="en"/>
        </w:rPr>
        <w:t>information</w:t>
      </w:r>
      <w:r>
        <w:rPr>
          <w:lang w:val="en"/>
        </w:rPr>
        <w:t xml:space="preserve"> in the </w:t>
      </w:r>
      <w:r w:rsidR="00170A05">
        <w:rPr>
          <w:lang w:val="en"/>
        </w:rPr>
        <w:t xml:space="preserve">data message </w:t>
      </w:r>
      <w:r w:rsidR="00A274EE">
        <w:rPr>
          <w:lang w:val="en"/>
        </w:rPr>
        <w:t>is</w:t>
      </w:r>
      <w:r>
        <w:rPr>
          <w:lang w:val="en"/>
        </w:rPr>
        <w:t xml:space="preserve"> under the embargo </w:t>
      </w:r>
      <w:r w:rsidR="00FD783F">
        <w:rPr>
          <w:lang w:val="en"/>
        </w:rPr>
        <w:t>date/</w:t>
      </w:r>
      <w:r>
        <w:rPr>
          <w:lang w:val="en"/>
        </w:rPr>
        <w:t>time set in the header.</w:t>
      </w:r>
      <w:r w:rsidR="002C7DC9">
        <w:rPr>
          <w:lang w:val="en"/>
        </w:rPr>
        <w:t xml:space="preserve">  </w:t>
      </w:r>
      <w:r w:rsidR="002C7DC9">
        <w:t xml:space="preserve">The header attribute </w:t>
      </w:r>
      <w:proofErr w:type="spellStart"/>
      <w:r w:rsidR="00161499" w:rsidRPr="00161499">
        <w:t>EmbargoDate</w:t>
      </w:r>
      <w:proofErr w:type="spellEnd"/>
      <w:r w:rsidR="00161499" w:rsidRPr="00161499" w:rsidDel="00161499">
        <w:t xml:space="preserve"> </w:t>
      </w:r>
      <w:r w:rsidR="002C7DC9">
        <w:t xml:space="preserve">with format date/time/time zone indicates until when the whole data message received </w:t>
      </w:r>
      <w:proofErr w:type="gramStart"/>
      <w:r w:rsidR="002C7DC9">
        <w:t>cannot be shared</w:t>
      </w:r>
      <w:proofErr w:type="gramEnd"/>
      <w:r w:rsidR="002C7DC9">
        <w:t xml:space="preserve"> with any recipient users. </w:t>
      </w:r>
      <w:r w:rsidR="00161499">
        <w:t xml:space="preserve"> </w:t>
      </w:r>
    </w:p>
    <w:p w14:paraId="6F5DDBB9" w14:textId="77777777" w:rsidR="00161499" w:rsidRDefault="00161499" w:rsidP="00FE3B69">
      <w:pPr>
        <w:keepNext/>
        <w:jc w:val="both"/>
      </w:pPr>
    </w:p>
    <w:p w14:paraId="7EC34A34" w14:textId="0A2271C3" w:rsidR="002C7DC9" w:rsidRDefault="00161499" w:rsidP="00FE3B69">
      <w:pPr>
        <w:keepNext/>
        <w:jc w:val="both"/>
      </w:pPr>
      <w:r>
        <w:t xml:space="preserve">Once the </w:t>
      </w:r>
      <w:proofErr w:type="spellStart"/>
      <w:r>
        <w:t>EmbargoDate</w:t>
      </w:r>
      <w:proofErr w:type="spellEnd"/>
      <w:r>
        <w:t xml:space="preserve"> in the header elapses, each observation’s confidentiality status </w:t>
      </w:r>
      <w:r w:rsidR="00E705EB">
        <w:t xml:space="preserve">becomes </w:t>
      </w:r>
      <w:r>
        <w:t xml:space="preserve">that which is marked in the </w:t>
      </w:r>
      <w:proofErr w:type="spellStart"/>
      <w:r>
        <w:t>CONF_STATUS</w:t>
      </w:r>
      <w:proofErr w:type="spellEnd"/>
      <w:r>
        <w:t xml:space="preserve"> </w:t>
      </w:r>
      <w:r w:rsidR="00A06051">
        <w:t>attributes</w:t>
      </w:r>
      <w:r>
        <w:t>.</w:t>
      </w:r>
    </w:p>
    <w:p w14:paraId="2502B2CA" w14:textId="77777777" w:rsidR="00A06051" w:rsidRDefault="00A06051" w:rsidP="00FE3B69">
      <w:pPr>
        <w:jc w:val="both"/>
      </w:pPr>
    </w:p>
    <w:p w14:paraId="7391B9A2" w14:textId="1C5213DD" w:rsidR="00A06051" w:rsidRDefault="00A06051" w:rsidP="00FE3B69">
      <w:pPr>
        <w:keepNext/>
        <w:spacing w:after="120"/>
        <w:jc w:val="both"/>
        <w:rPr>
          <w:lang w:val="en"/>
        </w:rPr>
      </w:pPr>
      <w:r>
        <w:rPr>
          <w:lang w:val="en"/>
        </w:rPr>
        <w:t>Note that th</w:t>
      </w:r>
      <w:r w:rsidR="007A73A5">
        <w:rPr>
          <w:lang w:val="en"/>
        </w:rPr>
        <w:t xml:space="preserve">is </w:t>
      </w:r>
      <w:r>
        <w:rPr>
          <w:lang w:val="en"/>
        </w:rPr>
        <w:t xml:space="preserve">scenario presumes that </w:t>
      </w:r>
      <w:proofErr w:type="gramStart"/>
      <w:r>
        <w:rPr>
          <w:lang w:val="en"/>
        </w:rPr>
        <w:t>all data in the message cannot</w:t>
      </w:r>
      <w:proofErr w:type="gramEnd"/>
      <w:r>
        <w:rPr>
          <w:lang w:val="en"/>
        </w:rPr>
        <w:t xml:space="preserve"> be viewed before the header </w:t>
      </w:r>
      <w:proofErr w:type="spellStart"/>
      <w:r>
        <w:rPr>
          <w:lang w:val="en"/>
        </w:rPr>
        <w:t>EmbargoDate</w:t>
      </w:r>
      <w:proofErr w:type="spellEnd"/>
      <w:r>
        <w:rPr>
          <w:lang w:val="en"/>
        </w:rPr>
        <w:t xml:space="preserve">, and that there is no privileged access before this time.  However, observations may be marked with </w:t>
      </w:r>
      <w:r w:rsidR="00E81D34">
        <w:rPr>
          <w:lang w:val="en"/>
        </w:rPr>
        <w:t xml:space="preserve">any other confidentiality status that </w:t>
      </w:r>
      <w:r w:rsidR="007A73A5">
        <w:rPr>
          <w:lang w:val="en"/>
        </w:rPr>
        <w:t>is</w:t>
      </w:r>
      <w:r w:rsidR="00E81D34">
        <w:rPr>
          <w:lang w:val="en"/>
        </w:rPr>
        <w:t xml:space="preserve"> valid </w:t>
      </w:r>
      <w:r>
        <w:rPr>
          <w:lang w:val="en"/>
        </w:rPr>
        <w:t xml:space="preserve">after the frontloading </w:t>
      </w:r>
      <w:proofErr w:type="spellStart"/>
      <w:r>
        <w:rPr>
          <w:lang w:val="en"/>
        </w:rPr>
        <w:t>EmbargoDate</w:t>
      </w:r>
      <w:proofErr w:type="spellEnd"/>
      <w:r>
        <w:rPr>
          <w:lang w:val="en"/>
        </w:rPr>
        <w:t xml:space="preserve"> elapses.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E85ACD" w14:paraId="43D36276" w14:textId="77777777" w:rsidTr="00E85ACD">
        <w:tc>
          <w:tcPr>
            <w:tcW w:w="8522" w:type="dxa"/>
          </w:tcPr>
          <w:p w14:paraId="0EB97997" w14:textId="77777777" w:rsidR="00E85ACD" w:rsidRPr="003E7877" w:rsidRDefault="00E85ACD" w:rsidP="00FE3B69">
            <w:pPr>
              <w:pStyle w:val="Heading3"/>
              <w:spacing w:before="120"/>
              <w:jc w:val="both"/>
              <w:rPr>
                <w:rFonts w:ascii="Times New Roman" w:hAnsi="Times New Roman"/>
                <w:sz w:val="24"/>
                <w:lang w:val="en"/>
              </w:rPr>
            </w:pPr>
            <w:r w:rsidRPr="003E7877">
              <w:rPr>
                <w:rFonts w:ascii="Times New Roman" w:hAnsi="Times New Roman"/>
                <w:sz w:val="24"/>
                <w:lang w:val="en"/>
              </w:rPr>
              <w:t>SDMX Representation</w:t>
            </w:r>
          </w:p>
          <w:p w14:paraId="7AF5D403" w14:textId="49B17DFC" w:rsidR="00E85ACD" w:rsidRDefault="00E85ACD" w:rsidP="00FE3B69">
            <w:pPr>
              <w:pStyle w:val="ListParagraph"/>
              <w:keepNext/>
              <w:numPr>
                <w:ilvl w:val="0"/>
                <w:numId w:val="20"/>
              </w:numPr>
              <w:spacing w:before="60" w:after="120"/>
              <w:ind w:left="556" w:hanging="284"/>
              <w:jc w:val="both"/>
              <w:outlineLvl w:val="1"/>
              <w:rPr>
                <w:lang w:val="en"/>
              </w:rPr>
            </w:pPr>
            <w:proofErr w:type="spellStart"/>
            <w:r w:rsidRPr="00E85ACD">
              <w:rPr>
                <w:b/>
                <w:sz w:val="20"/>
                <w:lang w:val="en"/>
              </w:rPr>
              <w:t>CONF_STATUS</w:t>
            </w:r>
            <w:proofErr w:type="spellEnd"/>
            <w:r w:rsidRPr="003E7877">
              <w:rPr>
                <w:sz w:val="20"/>
                <w:lang w:val="en"/>
              </w:rPr>
              <w:t>: &lt;Set to the required confidentiality status after the embargo time elapses&gt;; &lt;Header&gt;\&lt;</w:t>
            </w:r>
            <w:proofErr w:type="spellStart"/>
            <w:r w:rsidRPr="003E7877">
              <w:rPr>
                <w:sz w:val="20"/>
                <w:lang w:val="en"/>
              </w:rPr>
              <w:t>EmbargoDate</w:t>
            </w:r>
            <w:proofErr w:type="spellEnd"/>
            <w:r w:rsidRPr="003E7877">
              <w:rPr>
                <w:sz w:val="20"/>
                <w:lang w:val="en"/>
              </w:rPr>
              <w:t>&gt;: [timestamp]</w:t>
            </w:r>
          </w:p>
        </w:tc>
      </w:tr>
    </w:tbl>
    <w:p w14:paraId="553A4747" w14:textId="77777777" w:rsidR="00D56672" w:rsidRDefault="00D56672" w:rsidP="00FE3B69">
      <w:pPr>
        <w:jc w:val="both"/>
        <w:rPr>
          <w:lang w:val="en"/>
        </w:rPr>
      </w:pPr>
    </w:p>
    <w:p w14:paraId="37CD5C44" w14:textId="1053BFDC" w:rsidR="00161499" w:rsidRDefault="00405708" w:rsidP="00FE3B69">
      <w:pPr>
        <w:jc w:val="both"/>
        <w:rPr>
          <w:lang w:val="en"/>
        </w:rPr>
      </w:pPr>
      <w:r>
        <w:rPr>
          <w:lang w:val="en"/>
        </w:rPr>
        <w:t>The two ways of representing embargoed data exist to provide efficiency in the exchange</w:t>
      </w:r>
      <w:r w:rsidR="00A274EE">
        <w:rPr>
          <w:lang w:val="en"/>
        </w:rPr>
        <w:t xml:space="preserve">, allow for differentiating data intended to be frontloaded and data aimed to </w:t>
      </w:r>
      <w:proofErr w:type="gramStart"/>
      <w:r w:rsidR="00A274EE">
        <w:rPr>
          <w:lang w:val="en"/>
        </w:rPr>
        <w:t>be provided</w:t>
      </w:r>
      <w:proofErr w:type="gramEnd"/>
      <w:r w:rsidR="00A274EE">
        <w:rPr>
          <w:lang w:val="en"/>
        </w:rPr>
        <w:t xml:space="preserve"> in advance to a restricted audience</w:t>
      </w:r>
      <w:r w:rsidR="00161499">
        <w:rPr>
          <w:lang w:val="en"/>
        </w:rPr>
        <w:t xml:space="preserve">, </w:t>
      </w:r>
      <w:r w:rsidR="00034D38">
        <w:rPr>
          <w:lang w:val="en"/>
        </w:rPr>
        <w:t>and</w:t>
      </w:r>
      <w:r w:rsidR="00FC102A">
        <w:rPr>
          <w:lang w:val="en"/>
        </w:rPr>
        <w:t xml:space="preserve"> provide</w:t>
      </w:r>
      <w:r w:rsidR="00034D38">
        <w:rPr>
          <w:lang w:val="en"/>
        </w:rPr>
        <w:t xml:space="preserve"> flexibility when few </w:t>
      </w:r>
      <w:r w:rsidR="007A73A5">
        <w:rPr>
          <w:lang w:val="en"/>
        </w:rPr>
        <w:t>observations</w:t>
      </w:r>
      <w:r w:rsidR="00034D38">
        <w:rPr>
          <w:lang w:val="en"/>
        </w:rPr>
        <w:t xml:space="preserve"> need to be embargoed in a large </w:t>
      </w:r>
      <w:r w:rsidR="00170A05">
        <w:rPr>
          <w:lang w:val="en"/>
        </w:rPr>
        <w:t>data message</w:t>
      </w:r>
      <w:r>
        <w:rPr>
          <w:lang w:val="en"/>
        </w:rPr>
        <w:t>.</w:t>
      </w:r>
      <w:r w:rsidR="003D7900">
        <w:rPr>
          <w:lang w:val="en"/>
        </w:rPr>
        <w:t xml:space="preserve">  </w:t>
      </w:r>
      <w:r w:rsidR="00FC102A">
        <w:rPr>
          <w:lang w:val="en"/>
        </w:rPr>
        <w:t xml:space="preserve">The trade-off is </w:t>
      </w:r>
      <w:r w:rsidR="003D7900">
        <w:rPr>
          <w:lang w:val="en"/>
        </w:rPr>
        <w:t xml:space="preserve">the complication of </w:t>
      </w:r>
      <w:r w:rsidR="00FC102A">
        <w:rPr>
          <w:lang w:val="en"/>
        </w:rPr>
        <w:t>system implementation to</w:t>
      </w:r>
      <w:r w:rsidR="00FD783F">
        <w:rPr>
          <w:lang w:val="en"/>
        </w:rPr>
        <w:t xml:space="preserve"> support</w:t>
      </w:r>
      <w:r w:rsidR="003D7900">
        <w:rPr>
          <w:lang w:val="en"/>
        </w:rPr>
        <w:t xml:space="preserve"> the two representations of embargo</w:t>
      </w:r>
      <w:r w:rsidR="00A274EE">
        <w:rPr>
          <w:lang w:val="en"/>
        </w:rPr>
        <w:t xml:space="preserve">, which has to </w:t>
      </w:r>
      <w:proofErr w:type="gramStart"/>
      <w:r w:rsidR="00A274EE">
        <w:rPr>
          <w:lang w:val="en"/>
        </w:rPr>
        <w:t>be done</w:t>
      </w:r>
      <w:proofErr w:type="gramEnd"/>
      <w:r w:rsidR="00A274EE">
        <w:rPr>
          <w:lang w:val="en"/>
        </w:rPr>
        <w:t xml:space="preserve"> locally</w:t>
      </w:r>
      <w:r w:rsidR="00BB0B08">
        <w:rPr>
          <w:lang w:val="en"/>
        </w:rPr>
        <w:t xml:space="preserve"> on a case-by-case basis</w:t>
      </w:r>
      <w:r w:rsidR="00A274EE">
        <w:rPr>
          <w:lang w:val="en"/>
        </w:rPr>
        <w:t>.</w:t>
      </w:r>
      <w:r w:rsidR="00161499">
        <w:rPr>
          <w:lang w:val="en"/>
        </w:rPr>
        <w:t xml:space="preserve">  </w:t>
      </w:r>
    </w:p>
    <w:p w14:paraId="5C595EA3" w14:textId="77777777" w:rsidR="00C327B5" w:rsidRPr="00255DB4" w:rsidRDefault="00BD2C88" w:rsidP="00255DB4">
      <w:pPr>
        <w:pStyle w:val="Heading1"/>
        <w:shd w:val="clear" w:color="auto" w:fill="D9D9D9" w:themeFill="background1" w:themeFillShade="D9"/>
        <w:jc w:val="both"/>
        <w:rPr>
          <w:rFonts w:ascii="Times New Roman" w:hAnsi="Times New Roman"/>
        </w:rPr>
      </w:pPr>
      <w:r w:rsidRPr="00255DB4">
        <w:rPr>
          <w:rFonts w:ascii="Times New Roman" w:hAnsi="Times New Roman"/>
          <w:lang w:val="en"/>
        </w:rPr>
        <w:t>Additional</w:t>
      </w:r>
      <w:r w:rsidR="00170A05" w:rsidRPr="00255DB4">
        <w:rPr>
          <w:rFonts w:ascii="Times New Roman" w:hAnsi="Times New Roman"/>
          <w:lang w:val="en"/>
        </w:rPr>
        <w:t xml:space="preserve"> </w:t>
      </w:r>
      <w:r w:rsidR="00AF3A7C" w:rsidRPr="00255DB4">
        <w:rPr>
          <w:rFonts w:ascii="Times New Roman" w:hAnsi="Times New Roman"/>
          <w:lang w:val="en"/>
        </w:rPr>
        <w:t>r</w:t>
      </w:r>
      <w:r w:rsidR="00C327B5" w:rsidRPr="00255DB4">
        <w:rPr>
          <w:rFonts w:ascii="Times New Roman" w:hAnsi="Times New Roman"/>
          <w:lang w:val="en"/>
        </w:rPr>
        <w:t>ecommendations</w:t>
      </w:r>
      <w:r w:rsidR="006C17F2" w:rsidRPr="00255DB4">
        <w:rPr>
          <w:rFonts w:ascii="Times New Roman" w:hAnsi="Times New Roman"/>
          <w:lang w:val="en"/>
        </w:rPr>
        <w:t xml:space="preserve"> and examples</w:t>
      </w:r>
    </w:p>
    <w:p w14:paraId="6B908D6C" w14:textId="77777777" w:rsidR="00C327B5" w:rsidRDefault="00C327B5" w:rsidP="00FF0AC4">
      <w:pPr>
        <w:pStyle w:val="ListBullet"/>
        <w:numPr>
          <w:ilvl w:val="0"/>
          <w:numId w:val="0"/>
        </w:numPr>
        <w:spacing w:after="240"/>
        <w:jc w:val="both"/>
      </w:pPr>
      <w:r>
        <w:t xml:space="preserve">In data flows that feature confidential data, </w:t>
      </w:r>
      <w:proofErr w:type="spellStart"/>
      <w:r>
        <w:t>CONF_STATUS</w:t>
      </w:r>
      <w:proofErr w:type="spellEnd"/>
      <w:r>
        <w:t xml:space="preserve"> is highly recommended to be a mandatory attribute.  However, if </w:t>
      </w:r>
      <w:proofErr w:type="spellStart"/>
      <w:r>
        <w:t>CONF_STATUS</w:t>
      </w:r>
      <w:proofErr w:type="spellEnd"/>
      <w:r>
        <w:t xml:space="preserve"> is optional in the </w:t>
      </w:r>
      <w:proofErr w:type="spellStart"/>
      <w:r>
        <w:t>DSD</w:t>
      </w:r>
      <w:proofErr w:type="spellEnd"/>
      <w:r>
        <w:t xml:space="preserve"> and missing from an observation, it </w:t>
      </w:r>
      <w:proofErr w:type="gramStart"/>
      <w:r>
        <w:t>is always implied</w:t>
      </w:r>
      <w:proofErr w:type="gramEnd"/>
      <w:r>
        <w:t xml:space="preserve"> to be “F” (free).</w:t>
      </w:r>
    </w:p>
    <w:p w14:paraId="238E4BE4" w14:textId="77777777" w:rsidR="00C327B5" w:rsidRPr="00FF0AC4" w:rsidRDefault="00C327B5" w:rsidP="00FF0AC4">
      <w:pPr>
        <w:pStyle w:val="Heading3"/>
        <w:spacing w:before="120"/>
        <w:jc w:val="both"/>
        <w:rPr>
          <w:rFonts w:ascii="Times New Roman" w:hAnsi="Times New Roman"/>
          <w:sz w:val="24"/>
          <w:szCs w:val="24"/>
          <w:lang w:val="en"/>
        </w:rPr>
      </w:pPr>
      <w:bookmarkStart w:id="0" w:name="_Ref427915823"/>
      <w:r w:rsidRPr="00FF0AC4">
        <w:rPr>
          <w:rFonts w:ascii="Times New Roman" w:hAnsi="Times New Roman"/>
          <w:sz w:val="24"/>
          <w:szCs w:val="24"/>
          <w:lang w:val="en"/>
        </w:rPr>
        <w:t xml:space="preserve">Use of the </w:t>
      </w:r>
      <w:proofErr w:type="spellStart"/>
      <w:r w:rsidR="00591B8E" w:rsidRPr="00FF0AC4">
        <w:rPr>
          <w:rFonts w:ascii="Times New Roman" w:hAnsi="Times New Roman"/>
          <w:sz w:val="24"/>
          <w:szCs w:val="24"/>
          <w:lang w:val="en"/>
        </w:rPr>
        <w:t>CONF_REDIST</w:t>
      </w:r>
      <w:proofErr w:type="spellEnd"/>
      <w:r w:rsidRPr="00FF0AC4">
        <w:rPr>
          <w:rFonts w:ascii="Times New Roman" w:hAnsi="Times New Roman"/>
          <w:sz w:val="24"/>
          <w:szCs w:val="24"/>
          <w:lang w:val="en"/>
        </w:rPr>
        <w:t xml:space="preserve"> attribute</w:t>
      </w:r>
      <w:bookmarkEnd w:id="0"/>
    </w:p>
    <w:p w14:paraId="250233C9" w14:textId="77777777" w:rsidR="00C327B5" w:rsidRDefault="00C327B5" w:rsidP="00FE3B69">
      <w:pPr>
        <w:pStyle w:val="ListBullet"/>
        <w:keepNext/>
        <w:numPr>
          <w:ilvl w:val="0"/>
          <w:numId w:val="0"/>
        </w:numPr>
        <w:ind w:left="360" w:hanging="360"/>
        <w:jc w:val="both"/>
      </w:pPr>
    </w:p>
    <w:p w14:paraId="60896435" w14:textId="1AADE6DF" w:rsidR="00C327B5" w:rsidRDefault="00C327B5" w:rsidP="00FE3B69">
      <w:pPr>
        <w:pStyle w:val="ListBullet"/>
        <w:keepNext/>
        <w:numPr>
          <w:ilvl w:val="0"/>
          <w:numId w:val="0"/>
        </w:numPr>
        <w:jc w:val="both"/>
      </w:pPr>
      <w:r>
        <w:t xml:space="preserve">The </w:t>
      </w:r>
      <w:proofErr w:type="spellStart"/>
      <w:r w:rsidR="00591B8E">
        <w:t>CONF_REDIST</w:t>
      </w:r>
      <w:proofErr w:type="spellEnd"/>
      <w:r w:rsidRPr="00FD3D32">
        <w:t xml:space="preserve"> </w:t>
      </w:r>
      <w:r>
        <w:t>attribute defines t</w:t>
      </w:r>
      <w:r w:rsidRPr="00FD3D32">
        <w:t>he secondary recipient(s) to whom the sender allows the primary recipient to forward confidential data</w:t>
      </w:r>
      <w:r w:rsidRPr="009F1DE0">
        <w:t>.</w:t>
      </w:r>
      <w:r>
        <w:t xml:space="preserve">  It </w:t>
      </w:r>
      <w:proofErr w:type="gramStart"/>
      <w:r w:rsidR="009B6BF4">
        <w:t>is recommended</w:t>
      </w:r>
      <w:proofErr w:type="gramEnd"/>
      <w:r>
        <w:t xml:space="preserve"> to be an optional attribute at observation level. </w:t>
      </w:r>
      <w:r w:rsidR="002D7A6D">
        <w:t xml:space="preserve"> </w:t>
      </w:r>
      <w:proofErr w:type="gramStart"/>
      <w:r>
        <w:t>Ideally</w:t>
      </w:r>
      <w:proofErr w:type="gramEnd"/>
      <w:r>
        <w:t xml:space="preserve"> it should reference a shared code list</w:t>
      </w:r>
      <w:r w:rsidRPr="00632154">
        <w:t xml:space="preserve"> </w:t>
      </w:r>
      <w:r>
        <w:t xml:space="preserve">containing standard organisation codes. </w:t>
      </w:r>
      <w:r w:rsidR="00D9638A">
        <w:t xml:space="preserve"> </w:t>
      </w:r>
      <w:r>
        <w:t>To allow several secondary recipients there are these possibilities:</w:t>
      </w:r>
    </w:p>
    <w:p w14:paraId="11D63C51" w14:textId="77777777" w:rsidR="00C327B5" w:rsidRDefault="00C327B5" w:rsidP="00FE3B69">
      <w:pPr>
        <w:pStyle w:val="ListParagraph"/>
        <w:keepNext/>
        <w:jc w:val="both"/>
      </w:pPr>
    </w:p>
    <w:p w14:paraId="62D4BAF4" w14:textId="398ABA0C" w:rsidR="00C327B5" w:rsidRDefault="00C327B5" w:rsidP="00FE3B69">
      <w:pPr>
        <w:pStyle w:val="ListBullet"/>
        <w:keepNext/>
        <w:numPr>
          <w:ilvl w:val="0"/>
          <w:numId w:val="13"/>
        </w:numPr>
        <w:ind w:left="720"/>
        <w:jc w:val="both"/>
      </w:pPr>
      <w:r>
        <w:t xml:space="preserve">Use a code </w:t>
      </w:r>
      <w:r w:rsidR="0075023E">
        <w:t xml:space="preserve">that represents </w:t>
      </w:r>
      <w:r>
        <w:t>multiple organisations, or;</w:t>
      </w:r>
    </w:p>
    <w:p w14:paraId="16150014" w14:textId="77777777" w:rsidR="00C327B5" w:rsidRDefault="00C327B5" w:rsidP="00FE3B69">
      <w:pPr>
        <w:pStyle w:val="ListParagraph"/>
        <w:keepNext/>
        <w:ind w:left="1080"/>
        <w:jc w:val="both"/>
      </w:pPr>
    </w:p>
    <w:p w14:paraId="3EB0C626" w14:textId="60131065" w:rsidR="00C327B5" w:rsidRDefault="00C327B5" w:rsidP="00FE3B69">
      <w:pPr>
        <w:pStyle w:val="ListBullet"/>
        <w:keepNext/>
        <w:numPr>
          <w:ilvl w:val="0"/>
          <w:numId w:val="13"/>
        </w:numPr>
        <w:ind w:left="720"/>
        <w:jc w:val="both"/>
      </w:pPr>
      <w:r>
        <w:t xml:space="preserve">Use several </w:t>
      </w:r>
      <w:proofErr w:type="spellStart"/>
      <w:r w:rsidR="00591B8E">
        <w:t>CONF_REDIST</w:t>
      </w:r>
      <w:proofErr w:type="spellEnd"/>
      <w:r>
        <w:t xml:space="preserve"> attributes to portray the multiple recipients.  Each attribute represents one recipient and references the same </w:t>
      </w:r>
      <w:proofErr w:type="spellStart"/>
      <w:r>
        <w:t>codelist</w:t>
      </w:r>
      <w:proofErr w:type="spellEnd"/>
      <w:r>
        <w:t xml:space="preserve">.  This implementation is cleaner than the above </w:t>
      </w:r>
      <w:r w:rsidR="00D9638A">
        <w:t>point </w:t>
      </w:r>
      <w:r>
        <w:t>1, though th</w:t>
      </w:r>
      <w:r w:rsidR="0075023E">
        <w:t xml:space="preserve">is will require </w:t>
      </w:r>
      <w:proofErr w:type="gramStart"/>
      <w:r w:rsidR="0075023E">
        <w:lastRenderedPageBreak/>
        <w:t>adding</w:t>
      </w:r>
      <w:proofErr w:type="gramEnd"/>
      <w:r w:rsidR="0075023E">
        <w:t xml:space="preserve"> as many attributes to your </w:t>
      </w:r>
      <w:proofErr w:type="spellStart"/>
      <w:r w:rsidR="0075023E">
        <w:t>DSD</w:t>
      </w:r>
      <w:proofErr w:type="spellEnd"/>
      <w:r w:rsidR="0075023E">
        <w:t xml:space="preserve"> as there are potential recipients of the </w:t>
      </w:r>
      <w:r w:rsidR="009E3ADD">
        <w:t xml:space="preserve">redistributed </w:t>
      </w:r>
      <w:r w:rsidR="0075023E">
        <w:t>confidential data.</w:t>
      </w:r>
    </w:p>
    <w:p w14:paraId="1EAE7334" w14:textId="77777777" w:rsidR="00C327B5" w:rsidRDefault="00C327B5" w:rsidP="00FE3B69">
      <w:pPr>
        <w:pStyle w:val="ListBullet"/>
        <w:keepNext/>
        <w:numPr>
          <w:ilvl w:val="0"/>
          <w:numId w:val="0"/>
        </w:numPr>
        <w:ind w:left="720"/>
        <w:jc w:val="both"/>
      </w:pPr>
    </w:p>
    <w:p w14:paraId="25864BBD" w14:textId="77777777" w:rsidR="00C327B5" w:rsidRDefault="00C327B5" w:rsidP="00D9638A">
      <w:pPr>
        <w:pStyle w:val="ListBullet"/>
        <w:keepNext/>
        <w:numPr>
          <w:ilvl w:val="0"/>
          <w:numId w:val="0"/>
        </w:numPr>
        <w:spacing w:after="120"/>
        <w:ind w:left="357" w:hanging="357"/>
        <w:contextualSpacing w:val="0"/>
        <w:jc w:val="both"/>
      </w:pPr>
      <w:r>
        <w:t xml:space="preserve">If the </w:t>
      </w:r>
      <w:proofErr w:type="spellStart"/>
      <w:r>
        <w:t>EMBARGO_TIME</w:t>
      </w:r>
      <w:proofErr w:type="spellEnd"/>
      <w:r>
        <w:t xml:space="preserve"> and </w:t>
      </w:r>
      <w:proofErr w:type="spellStart"/>
      <w:r w:rsidR="00591B8E">
        <w:t>CONF_REDIST</w:t>
      </w:r>
      <w:proofErr w:type="spellEnd"/>
      <w:r>
        <w:t xml:space="preserve"> attributes are both used:</w:t>
      </w:r>
    </w:p>
    <w:p w14:paraId="2C144DD4" w14:textId="77777777" w:rsidR="00C327B5" w:rsidRDefault="00C327B5" w:rsidP="00D9638A">
      <w:pPr>
        <w:pStyle w:val="ListBullet"/>
        <w:keepNext/>
        <w:numPr>
          <w:ilvl w:val="0"/>
          <w:numId w:val="30"/>
        </w:numPr>
        <w:ind w:left="720"/>
        <w:jc w:val="both"/>
      </w:pPr>
      <w:r>
        <w:t xml:space="preserve">Data is available only to the organisations in </w:t>
      </w:r>
      <w:proofErr w:type="spellStart"/>
      <w:r w:rsidR="00591B8E">
        <w:t>CONF_REDIST</w:t>
      </w:r>
      <w:proofErr w:type="spellEnd"/>
      <w:r>
        <w:t xml:space="preserve"> until </w:t>
      </w:r>
      <w:proofErr w:type="spellStart"/>
      <w:r>
        <w:t>EMBARGO_TIME</w:t>
      </w:r>
      <w:proofErr w:type="spellEnd"/>
    </w:p>
    <w:p w14:paraId="21FA9263" w14:textId="77777777" w:rsidR="00C327B5" w:rsidRDefault="00C327B5" w:rsidP="00D9638A">
      <w:pPr>
        <w:pStyle w:val="ListBullet"/>
        <w:keepNext/>
        <w:numPr>
          <w:ilvl w:val="0"/>
          <w:numId w:val="30"/>
        </w:numPr>
        <w:spacing w:after="240"/>
        <w:ind w:left="714" w:hanging="357"/>
        <w:contextualSpacing w:val="0"/>
        <w:jc w:val="both"/>
      </w:pPr>
      <w:r>
        <w:t xml:space="preserve">Data is available to the public after </w:t>
      </w:r>
      <w:proofErr w:type="spellStart"/>
      <w:r>
        <w:t>EMBARGO_TIME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2787"/>
        <w:gridCol w:w="2977"/>
      </w:tblGrid>
      <w:tr w:rsidR="00A4196D" w14:paraId="7DCEF683" w14:textId="75809A43" w:rsidTr="00284DB1">
        <w:tc>
          <w:tcPr>
            <w:tcW w:w="7905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6470671" w14:textId="3D09C60C" w:rsidR="00A4196D" w:rsidRPr="00D9638A" w:rsidRDefault="00A4196D" w:rsidP="00D9638A">
            <w:pPr>
              <w:pStyle w:val="Heading1"/>
              <w:spacing w:before="120" w:after="120"/>
              <w:jc w:val="center"/>
              <w:rPr>
                <w:rFonts w:ascii="Times New Roman" w:hAnsi="Times New Roman"/>
              </w:rPr>
            </w:pPr>
            <w:r w:rsidRPr="00D9638A">
              <w:rPr>
                <w:rFonts w:ascii="Times New Roman" w:hAnsi="Times New Roman"/>
                <w:sz w:val="24"/>
              </w:rPr>
              <w:t>Privileged Access</w:t>
            </w:r>
          </w:p>
        </w:tc>
      </w:tr>
      <w:tr w:rsidR="00A4196D" w14:paraId="66ECD146" w14:textId="76260392" w:rsidTr="00284DB1">
        <w:tc>
          <w:tcPr>
            <w:tcW w:w="21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F62C486" w14:textId="54FB9A79" w:rsidR="00A4196D" w:rsidRPr="00A4196D" w:rsidRDefault="00A4196D" w:rsidP="00D9638A">
            <w:pPr>
              <w:spacing w:before="60" w:after="60"/>
              <w:jc w:val="center"/>
              <w:rPr>
                <w:b/>
              </w:rPr>
            </w:pPr>
            <w:r w:rsidRPr="00A4196D">
              <w:rPr>
                <w:b/>
              </w:rPr>
              <w:t>Use case</w:t>
            </w:r>
          </w:p>
        </w:tc>
        <w:tc>
          <w:tcPr>
            <w:tcW w:w="2787" w:type="dxa"/>
            <w:shd w:val="clear" w:color="auto" w:fill="C6D9F1" w:themeFill="text2" w:themeFillTint="33"/>
            <w:vAlign w:val="center"/>
          </w:tcPr>
          <w:p w14:paraId="469F437C" w14:textId="124F84D1" w:rsidR="00A4196D" w:rsidRPr="00A4196D" w:rsidRDefault="00A4196D" w:rsidP="00D9638A">
            <w:pPr>
              <w:spacing w:before="60" w:after="60"/>
              <w:jc w:val="center"/>
              <w:rPr>
                <w:b/>
              </w:rPr>
            </w:pPr>
            <w:r w:rsidRPr="00A4196D">
              <w:rPr>
                <w:b/>
              </w:rPr>
              <w:t>No forwarding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14:paraId="2B63E789" w14:textId="17EF5C54" w:rsidR="00A4196D" w:rsidRPr="00A4196D" w:rsidRDefault="00A4196D" w:rsidP="00D9638A">
            <w:pPr>
              <w:spacing w:before="60" w:after="60"/>
              <w:jc w:val="center"/>
              <w:rPr>
                <w:b/>
              </w:rPr>
            </w:pPr>
            <w:r w:rsidRPr="00A4196D">
              <w:rPr>
                <w:b/>
              </w:rPr>
              <w:t>Forwarding</w:t>
            </w:r>
          </w:p>
        </w:tc>
      </w:tr>
      <w:tr w:rsidR="00A4196D" w14:paraId="50A0121C" w14:textId="32B63109" w:rsidTr="00284DB1">
        <w:tc>
          <w:tcPr>
            <w:tcW w:w="2141" w:type="dxa"/>
            <w:shd w:val="clear" w:color="auto" w:fill="C6D9F1" w:themeFill="text2" w:themeFillTint="33"/>
            <w:vAlign w:val="center"/>
          </w:tcPr>
          <w:p w14:paraId="2625537B" w14:textId="069500C1" w:rsidR="00A4196D" w:rsidRPr="00A4196D" w:rsidRDefault="00A4196D" w:rsidP="00284DB1">
            <w:pPr>
              <w:spacing w:before="60" w:after="60"/>
              <w:jc w:val="center"/>
              <w:rPr>
                <w:b/>
              </w:rPr>
            </w:pPr>
            <w:r w:rsidRPr="00A4196D">
              <w:rPr>
                <w:b/>
              </w:rPr>
              <w:t>Embargo</w:t>
            </w:r>
          </w:p>
        </w:tc>
        <w:tc>
          <w:tcPr>
            <w:tcW w:w="2787" w:type="dxa"/>
            <w:vAlign w:val="center"/>
          </w:tcPr>
          <w:p w14:paraId="52506BCA" w14:textId="227FC006" w:rsidR="00A4196D" w:rsidRDefault="00A4196D" w:rsidP="00284DB1">
            <w:pPr>
              <w:spacing w:before="60"/>
              <w:jc w:val="center"/>
            </w:pPr>
            <w:proofErr w:type="spellStart"/>
            <w:r>
              <w:t>CONF_STATUS</w:t>
            </w:r>
            <w:proofErr w:type="spellEnd"/>
            <w:r>
              <w:t>:</w:t>
            </w:r>
            <w:r w:rsidR="00D9638A">
              <w:t xml:space="preserve"> </w:t>
            </w:r>
            <w:r>
              <w:t>E</w:t>
            </w:r>
          </w:p>
          <w:p w14:paraId="06CF0FDC" w14:textId="1F0307D6" w:rsidR="00A4196D" w:rsidRDefault="00A4196D" w:rsidP="00284DB1">
            <w:pPr>
              <w:spacing w:after="60"/>
              <w:jc w:val="center"/>
            </w:pPr>
            <w:proofErr w:type="spellStart"/>
            <w:r>
              <w:t>EMBARGO_TIME</w:t>
            </w:r>
            <w:proofErr w:type="spellEnd"/>
          </w:p>
        </w:tc>
        <w:tc>
          <w:tcPr>
            <w:tcW w:w="2977" w:type="dxa"/>
            <w:vAlign w:val="center"/>
          </w:tcPr>
          <w:p w14:paraId="19E429E3" w14:textId="1F412102" w:rsidR="00A4196D" w:rsidRDefault="00A4196D" w:rsidP="00284DB1">
            <w:pPr>
              <w:spacing w:before="60"/>
              <w:jc w:val="center"/>
            </w:pPr>
            <w:proofErr w:type="spellStart"/>
            <w:r>
              <w:t>CONF_STATUS</w:t>
            </w:r>
            <w:proofErr w:type="spellEnd"/>
            <w:r>
              <w:t>:</w:t>
            </w:r>
            <w:r w:rsidR="00D9638A">
              <w:t xml:space="preserve"> </w:t>
            </w:r>
            <w:r>
              <w:t>E</w:t>
            </w:r>
          </w:p>
          <w:p w14:paraId="209C1EEC" w14:textId="77777777" w:rsidR="00D9638A" w:rsidRDefault="00A4196D" w:rsidP="00284DB1">
            <w:pPr>
              <w:jc w:val="center"/>
            </w:pPr>
            <w:proofErr w:type="spellStart"/>
            <w:r>
              <w:t>EMBARGO_TIME</w:t>
            </w:r>
            <w:proofErr w:type="spellEnd"/>
          </w:p>
          <w:p w14:paraId="1283FDF0" w14:textId="5668E75B" w:rsidR="00A4196D" w:rsidRDefault="00A4196D" w:rsidP="00284DB1">
            <w:pPr>
              <w:spacing w:after="60"/>
              <w:jc w:val="center"/>
            </w:pPr>
            <w:proofErr w:type="spellStart"/>
            <w:r>
              <w:t>CONF_REDIST</w:t>
            </w:r>
            <w:proofErr w:type="spellEnd"/>
          </w:p>
        </w:tc>
      </w:tr>
      <w:tr w:rsidR="00A4196D" w14:paraId="331D13A3" w14:textId="6CB1A797" w:rsidTr="00284DB1">
        <w:tc>
          <w:tcPr>
            <w:tcW w:w="2141" w:type="dxa"/>
            <w:shd w:val="clear" w:color="auto" w:fill="C6D9F1" w:themeFill="text2" w:themeFillTint="33"/>
            <w:vAlign w:val="center"/>
          </w:tcPr>
          <w:p w14:paraId="27E3A170" w14:textId="182B145F" w:rsidR="00A4196D" w:rsidRPr="00A4196D" w:rsidRDefault="00A4196D" w:rsidP="00284DB1">
            <w:pPr>
              <w:spacing w:before="60" w:after="60"/>
              <w:jc w:val="center"/>
              <w:rPr>
                <w:b/>
              </w:rPr>
            </w:pPr>
            <w:r w:rsidRPr="00A4196D">
              <w:rPr>
                <w:b/>
              </w:rPr>
              <w:t>No embargo</w:t>
            </w:r>
          </w:p>
        </w:tc>
        <w:tc>
          <w:tcPr>
            <w:tcW w:w="2787" w:type="dxa"/>
            <w:vAlign w:val="center"/>
          </w:tcPr>
          <w:p w14:paraId="5973309E" w14:textId="19F67708" w:rsidR="00A4196D" w:rsidRDefault="00A4196D" w:rsidP="00284DB1">
            <w:pPr>
              <w:spacing w:before="60" w:after="60"/>
              <w:jc w:val="center"/>
            </w:pPr>
            <w:proofErr w:type="spellStart"/>
            <w:r>
              <w:t>CONF_STATUS</w:t>
            </w:r>
            <w:proofErr w:type="spellEnd"/>
            <w:r>
              <w:t>:</w:t>
            </w:r>
            <w:r w:rsidR="00D9638A">
              <w:t xml:space="preserve"> </w:t>
            </w:r>
            <w:r>
              <w:t>N</w:t>
            </w:r>
          </w:p>
        </w:tc>
        <w:tc>
          <w:tcPr>
            <w:tcW w:w="2977" w:type="dxa"/>
            <w:vAlign w:val="center"/>
          </w:tcPr>
          <w:p w14:paraId="1AFA45BB" w14:textId="5B2E83B6" w:rsidR="00A4196D" w:rsidRDefault="00A4196D" w:rsidP="00284DB1">
            <w:pPr>
              <w:spacing w:before="60"/>
              <w:jc w:val="center"/>
            </w:pPr>
            <w:proofErr w:type="spellStart"/>
            <w:r>
              <w:t>CONF_STATUS:N</w:t>
            </w:r>
            <w:proofErr w:type="spellEnd"/>
          </w:p>
          <w:p w14:paraId="76775007" w14:textId="27FFCA22" w:rsidR="00A4196D" w:rsidRDefault="00A4196D" w:rsidP="00284DB1">
            <w:pPr>
              <w:spacing w:after="60"/>
              <w:jc w:val="center"/>
            </w:pPr>
            <w:proofErr w:type="spellStart"/>
            <w:r>
              <w:t>CONF_REDIST</w:t>
            </w:r>
            <w:proofErr w:type="spellEnd"/>
          </w:p>
        </w:tc>
      </w:tr>
    </w:tbl>
    <w:p w14:paraId="43736C13" w14:textId="6A4B398F" w:rsidR="00C327B5" w:rsidRPr="00777EC4" w:rsidRDefault="00170A05" w:rsidP="00777EC4">
      <w:pPr>
        <w:pStyle w:val="Heading3"/>
        <w:spacing w:before="360"/>
        <w:jc w:val="both"/>
        <w:rPr>
          <w:rFonts w:ascii="Times New Roman" w:hAnsi="Times New Roman"/>
          <w:sz w:val="24"/>
          <w:szCs w:val="24"/>
          <w:lang w:val="en"/>
        </w:rPr>
      </w:pPr>
      <w:r w:rsidRPr="00777EC4">
        <w:rPr>
          <w:rFonts w:ascii="Times New Roman" w:hAnsi="Times New Roman"/>
          <w:sz w:val="24"/>
          <w:szCs w:val="24"/>
          <w:lang w:val="en"/>
        </w:rPr>
        <w:t>A</w:t>
      </w:r>
      <w:r w:rsidR="00B81E62" w:rsidRPr="00777EC4">
        <w:rPr>
          <w:rFonts w:ascii="Times New Roman" w:hAnsi="Times New Roman"/>
          <w:sz w:val="24"/>
          <w:szCs w:val="24"/>
          <w:lang w:val="en"/>
        </w:rPr>
        <w:t xml:space="preserve">n example </w:t>
      </w:r>
      <w:r w:rsidR="009C19B5" w:rsidRPr="00777EC4">
        <w:rPr>
          <w:rFonts w:ascii="Times New Roman" w:hAnsi="Times New Roman"/>
          <w:sz w:val="24"/>
          <w:szCs w:val="24"/>
          <w:lang w:val="en"/>
        </w:rPr>
        <w:t xml:space="preserve">of </w:t>
      </w:r>
      <w:r w:rsidR="00457FF8" w:rsidRPr="00777EC4">
        <w:rPr>
          <w:rFonts w:ascii="Times New Roman" w:hAnsi="Times New Roman"/>
          <w:sz w:val="24"/>
          <w:szCs w:val="24"/>
          <w:lang w:val="en"/>
        </w:rPr>
        <w:t>sending data for privileged access with data forwarding information</w:t>
      </w:r>
    </w:p>
    <w:p w14:paraId="30396EDA" w14:textId="1427EDB8" w:rsidR="00627385" w:rsidRDefault="00457FF8" w:rsidP="00777EC4">
      <w:pPr>
        <w:spacing w:after="120"/>
        <w:jc w:val="both"/>
      </w:pPr>
      <w:r>
        <w:t xml:space="preserve">This example describes a case where data </w:t>
      </w:r>
      <w:r w:rsidR="00627385">
        <w:t xml:space="preserve">needs to </w:t>
      </w:r>
      <w:proofErr w:type="gramStart"/>
      <w:r w:rsidR="00627385">
        <w:t xml:space="preserve">be </w:t>
      </w:r>
      <w:r>
        <w:t>embargoed</w:t>
      </w:r>
      <w:proofErr w:type="gramEnd"/>
      <w:r w:rsidR="00627385">
        <w:t xml:space="preserve"> until a certain </w:t>
      </w:r>
      <w:r w:rsidR="005D3513">
        <w:t xml:space="preserve">date and </w:t>
      </w:r>
      <w:r w:rsidR="00627385">
        <w:t xml:space="preserve">time, and </w:t>
      </w:r>
      <w:r w:rsidR="005D3513">
        <w:t>may</w:t>
      </w:r>
      <w:r w:rsidR="00627385">
        <w:t xml:space="preserve"> be sent to certain other organisations in a single transmission without modification of the data or attributes. </w:t>
      </w:r>
    </w:p>
    <w:p w14:paraId="035A97D1" w14:textId="67C9B31F" w:rsidR="00457FF8" w:rsidRDefault="00627385" w:rsidP="00777EC4">
      <w:pPr>
        <w:spacing w:after="120"/>
        <w:jc w:val="both"/>
      </w:pPr>
      <w:r>
        <w:t>Th</w:t>
      </w:r>
      <w:r w:rsidR="00457FF8">
        <w:t xml:space="preserve">is example </w:t>
      </w:r>
      <w:proofErr w:type="gramStart"/>
      <w:r w:rsidR="00457FF8">
        <w:t>is based</w:t>
      </w:r>
      <w:proofErr w:type="gramEnd"/>
      <w:r w:rsidR="00457FF8">
        <w:t xml:space="preserve"> on </w:t>
      </w:r>
      <w:r w:rsidR="00C81401">
        <w:t xml:space="preserve">the exchange of </w:t>
      </w:r>
      <w:r>
        <w:t>sector accounts</w:t>
      </w:r>
      <w:r w:rsidR="00C81401">
        <w:t xml:space="preserve"> statistics within the European statistical system</w:t>
      </w:r>
      <w:r w:rsidR="00457FF8">
        <w:t xml:space="preserve">. </w:t>
      </w:r>
    </w:p>
    <w:p w14:paraId="3FBE74A9" w14:textId="6A68B449" w:rsidR="00457FF8" w:rsidRDefault="00627385" w:rsidP="00FE3B69">
      <w:pPr>
        <w:pStyle w:val="ListBullet"/>
        <w:jc w:val="both"/>
      </w:pPr>
      <w:r>
        <w:t>The national stat</w:t>
      </w:r>
      <w:r w:rsidR="005D3513">
        <w:t>istical</w:t>
      </w:r>
      <w:r>
        <w:t xml:space="preserve"> institutes send data to Eurostat</w:t>
      </w:r>
      <w:r w:rsidR="005D3513">
        <w:t xml:space="preserve">, and </w:t>
      </w:r>
      <w:r>
        <w:t xml:space="preserve">allow the data to be shared with </w:t>
      </w:r>
      <w:r w:rsidR="005D3513">
        <w:t xml:space="preserve">the </w:t>
      </w:r>
      <w:r>
        <w:t>ECB for statistical coproduction</w:t>
      </w:r>
    </w:p>
    <w:p w14:paraId="22DBC497" w14:textId="25768619" w:rsidR="00627385" w:rsidRDefault="00627385" w:rsidP="00FE3B69">
      <w:pPr>
        <w:pStyle w:val="ListBullet"/>
        <w:jc w:val="both"/>
      </w:pPr>
      <w:r>
        <w:t>The data may only be shared with the public on the next day</w:t>
      </w:r>
    </w:p>
    <w:p w14:paraId="50790160" w14:textId="2C6D5E1F" w:rsidR="00627385" w:rsidRDefault="00627385" w:rsidP="00FE3B69">
      <w:pPr>
        <w:pStyle w:val="ListBullet"/>
        <w:numPr>
          <w:ilvl w:val="0"/>
          <w:numId w:val="0"/>
        </w:numPr>
        <w:jc w:val="both"/>
      </w:pPr>
    </w:p>
    <w:p w14:paraId="0C8F7264" w14:textId="77777777" w:rsidR="00627385" w:rsidRPr="00E37631" w:rsidRDefault="00627385" w:rsidP="00FE3B69">
      <w:pPr>
        <w:pStyle w:val="ListBullet"/>
        <w:keepNext/>
        <w:numPr>
          <w:ilvl w:val="0"/>
          <w:numId w:val="0"/>
        </w:numPr>
        <w:ind w:left="360" w:hanging="360"/>
        <w:jc w:val="both"/>
        <w:rPr>
          <w:b/>
          <w:lang w:val="it-IT"/>
        </w:rPr>
      </w:pPr>
      <w:proofErr w:type="spellStart"/>
      <w:r w:rsidRPr="00E37631">
        <w:rPr>
          <w:b/>
          <w:lang w:val="it-IT"/>
        </w:rPr>
        <w:t>CONF_</w:t>
      </w:r>
      <w:proofErr w:type="gramStart"/>
      <w:r w:rsidRPr="00E37631">
        <w:rPr>
          <w:b/>
          <w:lang w:val="it-IT"/>
        </w:rPr>
        <w:t>STATUS:</w:t>
      </w:r>
      <w:r w:rsidRPr="00E37631">
        <w:rPr>
          <w:lang w:val="it-IT"/>
        </w:rPr>
        <w:t>E</w:t>
      </w:r>
      <w:proofErr w:type="spellEnd"/>
      <w:proofErr w:type="gramEnd"/>
      <w:r w:rsidRPr="00E37631">
        <w:rPr>
          <w:b/>
          <w:lang w:val="it-IT"/>
        </w:rPr>
        <w:t xml:space="preserve">; </w:t>
      </w:r>
    </w:p>
    <w:p w14:paraId="517A1049" w14:textId="77777777" w:rsidR="00627385" w:rsidRPr="00E37631" w:rsidRDefault="00627385" w:rsidP="00FE3B69">
      <w:pPr>
        <w:pStyle w:val="ListBullet"/>
        <w:keepNext/>
        <w:numPr>
          <w:ilvl w:val="0"/>
          <w:numId w:val="0"/>
        </w:numPr>
        <w:ind w:left="360" w:hanging="360"/>
        <w:jc w:val="both"/>
        <w:rPr>
          <w:b/>
          <w:lang w:val="it-IT"/>
        </w:rPr>
      </w:pPr>
      <w:proofErr w:type="spellStart"/>
      <w:r w:rsidRPr="00E37631">
        <w:rPr>
          <w:b/>
          <w:lang w:val="it-IT"/>
        </w:rPr>
        <w:t>CONF_REDIST</w:t>
      </w:r>
      <w:proofErr w:type="spellEnd"/>
      <w:r w:rsidRPr="00E37631">
        <w:rPr>
          <w:b/>
          <w:lang w:val="it-IT"/>
        </w:rPr>
        <w:t xml:space="preserve">: </w:t>
      </w:r>
      <w:proofErr w:type="spellStart"/>
      <w:r w:rsidRPr="00E37631">
        <w:rPr>
          <w:lang w:val="it-IT"/>
        </w:rPr>
        <w:t>ECB</w:t>
      </w:r>
      <w:proofErr w:type="spellEnd"/>
      <w:r w:rsidRPr="00E37631">
        <w:rPr>
          <w:b/>
          <w:lang w:val="it-IT"/>
        </w:rPr>
        <w:t xml:space="preserve">; </w:t>
      </w:r>
    </w:p>
    <w:p w14:paraId="6E440C99" w14:textId="2785E69F" w:rsidR="00627385" w:rsidRPr="00DC542A" w:rsidRDefault="00627385" w:rsidP="00FE3B69">
      <w:pPr>
        <w:pStyle w:val="ListBullet"/>
        <w:keepNext/>
        <w:numPr>
          <w:ilvl w:val="0"/>
          <w:numId w:val="0"/>
        </w:numPr>
        <w:ind w:left="360" w:hanging="360"/>
        <w:jc w:val="both"/>
        <w:rPr>
          <w:b/>
        </w:rPr>
      </w:pPr>
      <w:proofErr w:type="spellStart"/>
      <w:r w:rsidRPr="00DC542A">
        <w:rPr>
          <w:b/>
        </w:rPr>
        <w:t>EMBARGO_TIME</w:t>
      </w:r>
      <w:proofErr w:type="spellEnd"/>
      <w:r w:rsidRPr="00DC542A">
        <w:rPr>
          <w:b/>
        </w:rPr>
        <w:t>=&lt;</w:t>
      </w:r>
      <w:proofErr w:type="spellStart"/>
      <w:r w:rsidRPr="004603FB">
        <w:t>T+1</w:t>
      </w:r>
      <w:proofErr w:type="spellEnd"/>
      <w:r w:rsidRPr="004603FB">
        <w:t xml:space="preserve"> </w:t>
      </w:r>
      <w:r>
        <w:t>day</w:t>
      </w:r>
      <w:r>
        <w:rPr>
          <w:b/>
        </w:rPr>
        <w:t xml:space="preserve">, </w:t>
      </w:r>
      <w:r w:rsidRPr="00627385">
        <w:t>e.g.</w:t>
      </w:r>
      <w:r>
        <w:rPr>
          <w:b/>
        </w:rPr>
        <w:t xml:space="preserve"> </w:t>
      </w:r>
      <w:proofErr w:type="spellStart"/>
      <w:r w:rsidRPr="00822FB7">
        <w:rPr>
          <w:lang w:val="en"/>
        </w:rPr>
        <w:t>2017-12-15T1</w:t>
      </w:r>
      <w:r>
        <w:rPr>
          <w:lang w:val="en"/>
        </w:rPr>
        <w:t>0</w:t>
      </w:r>
      <w:r w:rsidRPr="00822FB7">
        <w:rPr>
          <w:lang w:val="en"/>
        </w:rPr>
        <w:t>:0</w:t>
      </w:r>
      <w:r>
        <w:rPr>
          <w:lang w:val="en"/>
        </w:rPr>
        <w:t>0</w:t>
      </w:r>
      <w:r w:rsidRPr="00822FB7">
        <w:rPr>
          <w:lang w:val="en"/>
        </w:rPr>
        <w:t>:</w:t>
      </w:r>
      <w:r>
        <w:rPr>
          <w:lang w:val="en"/>
        </w:rPr>
        <w:t>00</w:t>
      </w:r>
      <w:r w:rsidRPr="00822FB7">
        <w:rPr>
          <w:lang w:val="en"/>
        </w:rPr>
        <w:t>Z</w:t>
      </w:r>
      <w:proofErr w:type="spellEnd"/>
      <w:r>
        <w:rPr>
          <w:lang w:val="en"/>
        </w:rPr>
        <w:t>&gt;</w:t>
      </w:r>
    </w:p>
    <w:p w14:paraId="7AC09789" w14:textId="77777777" w:rsidR="00627385" w:rsidRDefault="00627385" w:rsidP="00FE3B69">
      <w:pPr>
        <w:pStyle w:val="ListBullet"/>
        <w:numPr>
          <w:ilvl w:val="0"/>
          <w:numId w:val="0"/>
        </w:numPr>
        <w:jc w:val="both"/>
      </w:pPr>
    </w:p>
    <w:p w14:paraId="3E05FB8E" w14:textId="4DD94C1B" w:rsidR="005D171F" w:rsidRDefault="007B4577" w:rsidP="00FE3B69">
      <w:pPr>
        <w:jc w:val="both"/>
      </w:pPr>
      <w:r>
        <w:t xml:space="preserve">The solutions suggested above aim at covering the most common confidentiality and embargo use cases within a single transmission from the primary reporter to the </w:t>
      </w:r>
      <w:r w:rsidR="005D3513">
        <w:t xml:space="preserve">primary recipient. </w:t>
      </w:r>
      <w:r w:rsidR="00EA7030">
        <w:t xml:space="preserve"> </w:t>
      </w:r>
      <w:r w:rsidR="005D3513">
        <w:t xml:space="preserve">However, for some more complex scenarios it might still be required to make multiple transmissions. </w:t>
      </w:r>
    </w:p>
    <w:p w14:paraId="0D3CE5CC" w14:textId="77777777" w:rsidR="005D3513" w:rsidRDefault="005D3513" w:rsidP="00FE3B69">
      <w:pPr>
        <w:jc w:val="both"/>
      </w:pPr>
    </w:p>
    <w:p w14:paraId="1A6A85EA" w14:textId="183DF34D" w:rsidR="005D171F" w:rsidRDefault="005D171F" w:rsidP="00FE3B69">
      <w:pPr>
        <w:jc w:val="both"/>
      </w:pPr>
      <w:r>
        <w:t xml:space="preserve">It is </w:t>
      </w:r>
      <w:r w:rsidR="00824306">
        <w:t xml:space="preserve">strongly </w:t>
      </w:r>
      <w:r>
        <w:t xml:space="preserve">recommended that </w:t>
      </w:r>
      <w:r w:rsidR="00C81401">
        <w:t xml:space="preserve">use </w:t>
      </w:r>
      <w:r>
        <w:t xml:space="preserve">cases </w:t>
      </w:r>
      <w:proofErr w:type="gramStart"/>
      <w:r>
        <w:t>are</w:t>
      </w:r>
      <w:proofErr w:type="gramEnd"/>
      <w:r>
        <w:t xml:space="preserve"> specified in an agreement between organisations involved in </w:t>
      </w:r>
      <w:r w:rsidR="004603FB">
        <w:t>regular transmissions</w:t>
      </w:r>
      <w:r>
        <w:t xml:space="preserve"> up-front in order to avoid </w:t>
      </w:r>
      <w:r w:rsidR="00281908">
        <w:t>unnecessary</w:t>
      </w:r>
      <w:r>
        <w:t xml:space="preserve"> delay in data publication or – much worse – confidentiality breaches</w:t>
      </w:r>
      <w:r w:rsidR="00281908">
        <w:t>.</w:t>
      </w:r>
    </w:p>
    <w:p w14:paraId="7135B474" w14:textId="77777777" w:rsidR="00EA7030" w:rsidRDefault="00EA7030" w:rsidP="00EA7030">
      <w:pPr>
        <w:framePr w:hSpace="180" w:wrap="around" w:vAnchor="page" w:hAnchor="page" w:x="1787" w:y="3996"/>
        <w:rPr>
          <w:lang w:val="en"/>
        </w:rPr>
        <w:sectPr w:rsidR="00EA7030" w:rsidSect="00327605">
          <w:footerReference w:type="default" r:id="rId12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43EA011" w14:textId="2116B3D5" w:rsidR="00813328" w:rsidRPr="00EA7030" w:rsidRDefault="00EA7030" w:rsidP="007E3BE3">
      <w:pPr>
        <w:jc w:val="both"/>
        <w:rPr>
          <w:b/>
          <w:sz w:val="32"/>
        </w:rPr>
      </w:pPr>
      <w:r w:rsidRPr="00EA7030">
        <w:rPr>
          <w:b/>
          <w:sz w:val="32"/>
          <w:lang w:val="en"/>
        </w:rPr>
        <w:lastRenderedPageBreak/>
        <w:t>Annex 1: SDMX Representation of the confidentiality use case</w:t>
      </w:r>
      <w:r w:rsidRPr="00EA7030">
        <w:rPr>
          <w:b/>
          <w:sz w:val="32"/>
        </w:rPr>
        <w:t>s</w:t>
      </w:r>
    </w:p>
    <w:tbl>
      <w:tblPr>
        <w:tblStyle w:val="MediumList1-Accent5"/>
        <w:tblpPr w:leftFromText="180" w:rightFromText="180" w:horzAnchor="margin" w:tblpY="571"/>
        <w:tblW w:w="0" w:type="auto"/>
        <w:tblLook w:val="04A0" w:firstRow="1" w:lastRow="0" w:firstColumn="1" w:lastColumn="0" w:noHBand="0" w:noVBand="1"/>
      </w:tblPr>
      <w:tblGrid>
        <w:gridCol w:w="1959"/>
        <w:gridCol w:w="1862"/>
        <w:gridCol w:w="4117"/>
        <w:gridCol w:w="6020"/>
      </w:tblGrid>
      <w:tr w:rsidR="00FC102A" w:rsidRPr="00FD3D32" w14:paraId="6F27CB3F" w14:textId="77777777" w:rsidTr="007E3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14:paraId="4B10E5EE" w14:textId="77777777" w:rsidR="00327605" w:rsidRPr="00EA7030" w:rsidRDefault="00327605" w:rsidP="00EA7030">
            <w:pPr>
              <w:pStyle w:val="Heading2"/>
              <w:jc w:val="center"/>
              <w:outlineLvl w:val="1"/>
              <w:rPr>
                <w:b/>
                <w:i w:val="0"/>
                <w:sz w:val="20"/>
                <w:lang w:val="en"/>
              </w:rPr>
            </w:pPr>
            <w:r w:rsidRPr="00EA7030">
              <w:rPr>
                <w:b/>
                <w:i w:val="0"/>
                <w:sz w:val="20"/>
                <w:lang w:val="en"/>
              </w:rPr>
              <w:t>Use case</w:t>
            </w:r>
          </w:p>
        </w:tc>
        <w:tc>
          <w:tcPr>
            <w:tcW w:w="1862" w:type="dxa"/>
          </w:tcPr>
          <w:p w14:paraId="6251AE54" w14:textId="77777777" w:rsidR="00327605" w:rsidRPr="00FD3D32" w:rsidRDefault="00327605" w:rsidP="00EA7030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0"/>
                <w:lang w:val="en"/>
              </w:rPr>
            </w:pPr>
            <w:proofErr w:type="spellStart"/>
            <w:r w:rsidRPr="00FD3D32">
              <w:rPr>
                <w:i w:val="0"/>
                <w:sz w:val="20"/>
                <w:lang w:val="en"/>
              </w:rPr>
              <w:t>CONF_STATUS</w:t>
            </w:r>
            <w:proofErr w:type="spellEnd"/>
            <w:r w:rsidR="0092430D" w:rsidRPr="00FD3D32">
              <w:rPr>
                <w:i w:val="0"/>
                <w:sz w:val="20"/>
                <w:lang w:val="en"/>
              </w:rPr>
              <w:t xml:space="preserve"> (</w:t>
            </w:r>
            <w:r w:rsidR="00FD3D32">
              <w:rPr>
                <w:i w:val="0"/>
                <w:sz w:val="20"/>
                <w:lang w:val="en"/>
              </w:rPr>
              <w:t>O</w:t>
            </w:r>
            <w:r w:rsidR="0092430D" w:rsidRPr="00FD3D32">
              <w:rPr>
                <w:i w:val="0"/>
                <w:sz w:val="20"/>
                <w:lang w:val="en"/>
              </w:rPr>
              <w:t>bservation)</w:t>
            </w:r>
          </w:p>
        </w:tc>
        <w:tc>
          <w:tcPr>
            <w:tcW w:w="4117" w:type="dxa"/>
          </w:tcPr>
          <w:p w14:paraId="7299C8AB" w14:textId="77777777" w:rsidR="00327605" w:rsidRPr="00FD3D32" w:rsidRDefault="00327605" w:rsidP="00EA7030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0"/>
                <w:lang w:val="en"/>
              </w:rPr>
            </w:pPr>
            <w:r w:rsidRPr="00FD3D32">
              <w:rPr>
                <w:i w:val="0"/>
                <w:sz w:val="20"/>
                <w:lang w:val="en"/>
              </w:rPr>
              <w:t>Additional attributes</w:t>
            </w:r>
          </w:p>
        </w:tc>
        <w:tc>
          <w:tcPr>
            <w:tcW w:w="6020" w:type="dxa"/>
          </w:tcPr>
          <w:p w14:paraId="10B44781" w14:textId="77777777" w:rsidR="00327605" w:rsidRPr="00FD3D32" w:rsidRDefault="00327605" w:rsidP="00EA7030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0"/>
                <w:lang w:val="en"/>
              </w:rPr>
            </w:pPr>
            <w:r w:rsidRPr="00FD3D32">
              <w:rPr>
                <w:i w:val="0"/>
                <w:sz w:val="20"/>
                <w:lang w:val="en"/>
              </w:rPr>
              <w:t>Remarks</w:t>
            </w:r>
          </w:p>
        </w:tc>
      </w:tr>
      <w:tr w:rsidR="00FC102A" w:rsidRPr="00FD3D32" w14:paraId="3C04E722" w14:textId="77777777" w:rsidTr="007E3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14:paraId="64AD103E" w14:textId="77777777" w:rsidR="00327605" w:rsidRPr="00EA7030" w:rsidRDefault="00D551BF" w:rsidP="00EA7030">
            <w:pPr>
              <w:pStyle w:val="Heading2"/>
              <w:jc w:val="center"/>
              <w:outlineLvl w:val="1"/>
              <w:rPr>
                <w:b/>
                <w:i w:val="0"/>
                <w:sz w:val="20"/>
                <w:lang w:val="en"/>
              </w:rPr>
            </w:pPr>
            <w:r w:rsidRPr="00EA7030">
              <w:rPr>
                <w:b/>
                <w:i w:val="0"/>
                <w:sz w:val="20"/>
                <w:lang w:val="en"/>
              </w:rPr>
              <w:t>Non-confidential data</w:t>
            </w:r>
          </w:p>
        </w:tc>
        <w:tc>
          <w:tcPr>
            <w:tcW w:w="1862" w:type="dxa"/>
          </w:tcPr>
          <w:p w14:paraId="5E550B24" w14:textId="77777777" w:rsidR="00327605" w:rsidRPr="00FD3D32" w:rsidRDefault="00327605" w:rsidP="00EA7030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  <w:lang w:val="en"/>
              </w:rPr>
            </w:pPr>
            <w:r w:rsidRPr="00FD3D32">
              <w:rPr>
                <w:b w:val="0"/>
                <w:i w:val="0"/>
                <w:sz w:val="20"/>
                <w:lang w:val="en"/>
              </w:rPr>
              <w:t>F</w:t>
            </w:r>
          </w:p>
        </w:tc>
        <w:tc>
          <w:tcPr>
            <w:tcW w:w="4117" w:type="dxa"/>
          </w:tcPr>
          <w:p w14:paraId="7F993E23" w14:textId="77777777" w:rsidR="00327605" w:rsidRPr="00FD3D32" w:rsidRDefault="00327605" w:rsidP="00EA7030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lang w:val="en"/>
              </w:rPr>
            </w:pPr>
          </w:p>
        </w:tc>
        <w:tc>
          <w:tcPr>
            <w:tcW w:w="6020" w:type="dxa"/>
          </w:tcPr>
          <w:p w14:paraId="34F1D1A8" w14:textId="77777777" w:rsidR="00327605" w:rsidRPr="00FD3D32" w:rsidRDefault="00327605" w:rsidP="00EA7030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0"/>
                <w:lang w:val="en"/>
              </w:rPr>
            </w:pPr>
          </w:p>
        </w:tc>
      </w:tr>
      <w:tr w:rsidR="00FC102A" w:rsidRPr="00FD3D32" w14:paraId="5DB3105C" w14:textId="77777777" w:rsidTr="007E3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14:paraId="2323D9AC" w14:textId="5572169A" w:rsidR="00327605" w:rsidRPr="00EA7030" w:rsidRDefault="00FC102A" w:rsidP="00EA7030">
            <w:pPr>
              <w:pStyle w:val="Heading2"/>
              <w:jc w:val="center"/>
              <w:outlineLvl w:val="1"/>
              <w:rPr>
                <w:b/>
                <w:i w:val="0"/>
                <w:sz w:val="20"/>
                <w:lang w:val="en"/>
              </w:rPr>
            </w:pPr>
            <w:r w:rsidRPr="00EA7030">
              <w:rPr>
                <w:b/>
                <w:i w:val="0"/>
                <w:sz w:val="20"/>
                <w:lang w:val="en"/>
              </w:rPr>
              <w:t>Confidential data with no embargo</w:t>
            </w:r>
          </w:p>
        </w:tc>
        <w:tc>
          <w:tcPr>
            <w:tcW w:w="1862" w:type="dxa"/>
          </w:tcPr>
          <w:p w14:paraId="3162588D" w14:textId="77777777" w:rsidR="00327605" w:rsidRPr="00FD3D32" w:rsidRDefault="00327605" w:rsidP="00EA7030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  <w:lang w:val="en"/>
              </w:rPr>
            </w:pPr>
            <w:proofErr w:type="spellStart"/>
            <w:r w:rsidRPr="00FD3D32">
              <w:rPr>
                <w:b w:val="0"/>
                <w:i w:val="0"/>
                <w:sz w:val="20"/>
                <w:lang w:val="en"/>
              </w:rPr>
              <w:t>C</w:t>
            </w:r>
            <w:proofErr w:type="gramStart"/>
            <w:r w:rsidR="0092430D" w:rsidRPr="00FD3D32">
              <w:rPr>
                <w:b w:val="0"/>
                <w:i w:val="0"/>
                <w:sz w:val="20"/>
                <w:lang w:val="en"/>
              </w:rPr>
              <w:t>;D</w:t>
            </w:r>
            <w:proofErr w:type="gramEnd"/>
            <w:r w:rsidR="0092430D" w:rsidRPr="00FD3D32">
              <w:rPr>
                <w:b w:val="0"/>
                <w:i w:val="0"/>
                <w:sz w:val="20"/>
                <w:lang w:val="en"/>
              </w:rPr>
              <w:t>;S;A;O;T;G;M</w:t>
            </w:r>
            <w:r w:rsidR="007631A9">
              <w:rPr>
                <w:b w:val="0"/>
                <w:i w:val="0"/>
                <w:sz w:val="20"/>
                <w:lang w:val="en"/>
              </w:rPr>
              <w:t>;N</w:t>
            </w:r>
            <w:proofErr w:type="spellEnd"/>
          </w:p>
        </w:tc>
        <w:tc>
          <w:tcPr>
            <w:tcW w:w="4117" w:type="dxa"/>
          </w:tcPr>
          <w:p w14:paraId="24EBF47D" w14:textId="77777777" w:rsidR="00327605" w:rsidRPr="00FD3D32" w:rsidRDefault="00327605" w:rsidP="00EA7030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  <w:lang w:val="en"/>
              </w:rPr>
            </w:pPr>
          </w:p>
        </w:tc>
        <w:tc>
          <w:tcPr>
            <w:tcW w:w="6020" w:type="dxa"/>
          </w:tcPr>
          <w:p w14:paraId="0B0F1C08" w14:textId="77777777" w:rsidR="00327605" w:rsidRPr="00FD3D32" w:rsidRDefault="00327605" w:rsidP="007E3BE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  <w:lang w:val="en"/>
              </w:rPr>
            </w:pPr>
            <w:proofErr w:type="spellStart"/>
            <w:r w:rsidRPr="00FD3D32">
              <w:rPr>
                <w:b w:val="0"/>
                <w:i w:val="0"/>
                <w:sz w:val="20"/>
                <w:lang w:val="en"/>
              </w:rPr>
              <w:t>CONF_STATUS</w:t>
            </w:r>
            <w:proofErr w:type="spellEnd"/>
            <w:r w:rsidRPr="00FD3D32">
              <w:rPr>
                <w:b w:val="0"/>
                <w:i w:val="0"/>
                <w:sz w:val="20"/>
                <w:lang w:val="en"/>
              </w:rPr>
              <w:t xml:space="preserve"> </w:t>
            </w:r>
            <w:r w:rsidR="0092430D" w:rsidRPr="00FD3D32">
              <w:rPr>
                <w:b w:val="0"/>
                <w:i w:val="0"/>
                <w:sz w:val="20"/>
                <w:lang w:val="en"/>
              </w:rPr>
              <w:t xml:space="preserve">will usually </w:t>
            </w:r>
            <w:r w:rsidRPr="00FD3D32">
              <w:rPr>
                <w:b w:val="0"/>
                <w:i w:val="0"/>
                <w:sz w:val="20"/>
                <w:lang w:val="en"/>
              </w:rPr>
              <w:t xml:space="preserve">be </w:t>
            </w:r>
            <w:r w:rsidR="0092430D" w:rsidRPr="00FD3D32">
              <w:rPr>
                <w:b w:val="0"/>
                <w:i w:val="0"/>
                <w:sz w:val="20"/>
                <w:lang w:val="en"/>
              </w:rPr>
              <w:t xml:space="preserve">C but may also be </w:t>
            </w:r>
            <w:proofErr w:type="spellStart"/>
            <w:r w:rsidRPr="00FD3D32">
              <w:rPr>
                <w:b w:val="0"/>
                <w:i w:val="0"/>
                <w:sz w:val="20"/>
                <w:lang w:val="en"/>
              </w:rPr>
              <w:t>D</w:t>
            </w:r>
            <w:proofErr w:type="gramStart"/>
            <w:r w:rsidRPr="00FD3D32">
              <w:rPr>
                <w:b w:val="0"/>
                <w:i w:val="0"/>
                <w:sz w:val="20"/>
                <w:lang w:val="en"/>
              </w:rPr>
              <w:t>;S</w:t>
            </w:r>
            <w:proofErr w:type="gramEnd"/>
            <w:r w:rsidRPr="00FD3D32">
              <w:rPr>
                <w:b w:val="0"/>
                <w:i w:val="0"/>
                <w:sz w:val="20"/>
                <w:lang w:val="en"/>
              </w:rPr>
              <w:t>;A;O;T;G;M</w:t>
            </w:r>
            <w:r w:rsidR="007631A9">
              <w:rPr>
                <w:b w:val="0"/>
                <w:i w:val="0"/>
                <w:sz w:val="20"/>
                <w:lang w:val="en"/>
              </w:rPr>
              <w:t>;N</w:t>
            </w:r>
            <w:proofErr w:type="spellEnd"/>
            <w:r w:rsidRPr="00FD3D32">
              <w:rPr>
                <w:b w:val="0"/>
                <w:i w:val="0"/>
                <w:sz w:val="20"/>
                <w:lang w:val="en"/>
              </w:rPr>
              <w:t xml:space="preserve"> depending on the </w:t>
            </w:r>
            <w:r w:rsidR="0092430D" w:rsidRPr="00FD3D32">
              <w:rPr>
                <w:b w:val="0"/>
                <w:i w:val="0"/>
                <w:sz w:val="20"/>
                <w:lang w:val="en"/>
              </w:rPr>
              <w:t>required status and confidentiality reason</w:t>
            </w:r>
            <w:r w:rsidRPr="00FD3D32">
              <w:rPr>
                <w:b w:val="0"/>
                <w:i w:val="0"/>
                <w:sz w:val="20"/>
                <w:lang w:val="en"/>
              </w:rPr>
              <w:t>.</w:t>
            </w:r>
            <w:r w:rsidR="0092430D" w:rsidRPr="00FD3D32">
              <w:rPr>
                <w:b w:val="0"/>
                <w:i w:val="0"/>
                <w:sz w:val="20"/>
                <w:lang w:val="en"/>
              </w:rPr>
              <w:t xml:space="preserve">  See the </w:t>
            </w:r>
            <w:proofErr w:type="spellStart"/>
            <w:r w:rsidR="0092430D" w:rsidRPr="00FD3D32">
              <w:rPr>
                <w:b w:val="0"/>
                <w:i w:val="0"/>
                <w:sz w:val="20"/>
                <w:lang w:val="en"/>
              </w:rPr>
              <w:t>CL_CONF_STATUS</w:t>
            </w:r>
            <w:proofErr w:type="spellEnd"/>
            <w:r w:rsidR="0092430D" w:rsidRPr="00FD3D32">
              <w:rPr>
                <w:b w:val="0"/>
                <w:i w:val="0"/>
                <w:sz w:val="20"/>
                <w:lang w:val="en"/>
              </w:rPr>
              <w:t xml:space="preserve"> code list for details</w:t>
            </w:r>
            <w:r w:rsidR="0092430D" w:rsidRPr="00FD3D32">
              <w:rPr>
                <w:rStyle w:val="FootnoteReference"/>
                <w:b w:val="0"/>
                <w:i w:val="0"/>
                <w:sz w:val="20"/>
                <w:lang w:val="en"/>
              </w:rPr>
              <w:footnoteReference w:id="3"/>
            </w:r>
          </w:p>
        </w:tc>
      </w:tr>
      <w:tr w:rsidR="00B81E62" w:rsidRPr="00B81E62" w14:paraId="7AF92FA4" w14:textId="77777777" w:rsidTr="007E3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14:paraId="39876EC4" w14:textId="77777777" w:rsidR="00B81E62" w:rsidRPr="00EA7030" w:rsidRDefault="00B81E62" w:rsidP="00EA7030">
            <w:pPr>
              <w:keepNext/>
              <w:spacing w:before="240" w:after="60"/>
              <w:jc w:val="center"/>
              <w:outlineLvl w:val="1"/>
              <w:rPr>
                <w:rFonts w:ascii="Cambria" w:hAnsi="Cambria"/>
                <w:bCs w:val="0"/>
                <w:iCs/>
                <w:color w:val="auto"/>
                <w:sz w:val="20"/>
                <w:szCs w:val="28"/>
                <w:lang w:val="en"/>
              </w:rPr>
            </w:pPr>
            <w:r w:rsidRPr="00EA7030">
              <w:rPr>
                <w:rFonts w:ascii="Cambria" w:hAnsi="Cambria"/>
                <w:iCs/>
                <w:color w:val="auto"/>
                <w:sz w:val="20"/>
                <w:szCs w:val="28"/>
                <w:lang w:val="en"/>
              </w:rPr>
              <w:t>Forwarding of confidential data</w:t>
            </w:r>
          </w:p>
        </w:tc>
        <w:tc>
          <w:tcPr>
            <w:tcW w:w="1862" w:type="dxa"/>
          </w:tcPr>
          <w:p w14:paraId="1BB12AC6" w14:textId="77777777" w:rsidR="00B81E62" w:rsidRPr="00B81E62" w:rsidRDefault="00B81E62" w:rsidP="00EA7030">
            <w:pPr>
              <w:keepNext/>
              <w:spacing w:before="240" w:after="6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iCs/>
                <w:color w:val="auto"/>
                <w:sz w:val="20"/>
                <w:szCs w:val="28"/>
                <w:lang w:val="en"/>
              </w:rPr>
            </w:pPr>
            <w:r w:rsidRPr="00B81E62">
              <w:rPr>
                <w:rFonts w:ascii="Cambria" w:hAnsi="Cambria"/>
                <w:bCs/>
                <w:iCs/>
                <w:color w:val="auto"/>
                <w:sz w:val="20"/>
                <w:szCs w:val="28"/>
                <w:lang w:val="en"/>
              </w:rPr>
              <w:t>N</w:t>
            </w:r>
          </w:p>
        </w:tc>
        <w:tc>
          <w:tcPr>
            <w:tcW w:w="4117" w:type="dxa"/>
          </w:tcPr>
          <w:p w14:paraId="76C2B209" w14:textId="77777777" w:rsidR="00B81E62" w:rsidRPr="00B81E62" w:rsidRDefault="00B81E62" w:rsidP="007E3BE3">
            <w:pPr>
              <w:keepNext/>
              <w:spacing w:before="240" w:after="6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iCs/>
                <w:color w:val="auto"/>
                <w:sz w:val="20"/>
                <w:szCs w:val="28"/>
                <w:lang w:val="en"/>
              </w:rPr>
            </w:pPr>
            <w:proofErr w:type="spellStart"/>
            <w:r w:rsidRPr="00B81E62">
              <w:rPr>
                <w:rFonts w:ascii="Cambria" w:hAnsi="Cambria"/>
                <w:bCs/>
                <w:iCs/>
                <w:color w:val="auto"/>
                <w:sz w:val="20"/>
                <w:szCs w:val="28"/>
                <w:lang w:val="en"/>
              </w:rPr>
              <w:t>CONF_REDIST</w:t>
            </w:r>
            <w:proofErr w:type="spellEnd"/>
            <w:r w:rsidRPr="00B81E62">
              <w:rPr>
                <w:rFonts w:ascii="Cambria" w:hAnsi="Cambria"/>
                <w:bCs/>
                <w:iCs/>
                <w:color w:val="auto"/>
                <w:sz w:val="20"/>
                <w:szCs w:val="28"/>
                <w:lang w:val="en"/>
              </w:rPr>
              <w:t>: (Observation, Conditional)</w:t>
            </w:r>
          </w:p>
          <w:p w14:paraId="263507BF" w14:textId="77777777" w:rsidR="00B81E62" w:rsidRPr="00B81E62" w:rsidRDefault="00B81E62" w:rsidP="007E3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lang w:val="en"/>
              </w:rPr>
            </w:pPr>
          </w:p>
        </w:tc>
        <w:tc>
          <w:tcPr>
            <w:tcW w:w="6020" w:type="dxa"/>
          </w:tcPr>
          <w:p w14:paraId="5B76E342" w14:textId="77777777" w:rsidR="00B81E62" w:rsidRPr="00B81E62" w:rsidRDefault="00B81E62" w:rsidP="007E3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iCs/>
                <w:color w:val="auto"/>
                <w:sz w:val="20"/>
                <w:szCs w:val="28"/>
                <w:lang w:val="en"/>
              </w:rPr>
            </w:pPr>
            <w:proofErr w:type="spellStart"/>
            <w:r w:rsidRPr="00B81E62">
              <w:rPr>
                <w:color w:val="auto"/>
                <w:sz w:val="20"/>
                <w:lang w:val="en"/>
              </w:rPr>
              <w:t>CONF_REDIST</w:t>
            </w:r>
            <w:proofErr w:type="spellEnd"/>
            <w:r w:rsidRPr="00B81E62">
              <w:rPr>
                <w:color w:val="auto"/>
                <w:sz w:val="20"/>
                <w:lang w:val="en"/>
              </w:rPr>
              <w:t xml:space="preserve"> may represent multiple </w:t>
            </w:r>
            <w:proofErr w:type="spellStart"/>
            <w:r w:rsidRPr="00B81E62">
              <w:rPr>
                <w:color w:val="auto"/>
                <w:sz w:val="20"/>
                <w:lang w:val="en"/>
              </w:rPr>
              <w:t>organisations</w:t>
            </w:r>
            <w:proofErr w:type="spellEnd"/>
          </w:p>
        </w:tc>
      </w:tr>
      <w:tr w:rsidR="00FC102A" w:rsidRPr="00FD3D32" w14:paraId="465AA8C3" w14:textId="77777777" w:rsidTr="007E3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14:paraId="44A5B085" w14:textId="77777777" w:rsidR="00327605" w:rsidRPr="00EA7030" w:rsidRDefault="00FC102A" w:rsidP="00EA7030">
            <w:pPr>
              <w:pStyle w:val="Heading2"/>
              <w:jc w:val="center"/>
              <w:outlineLvl w:val="1"/>
              <w:rPr>
                <w:b/>
                <w:i w:val="0"/>
                <w:sz w:val="20"/>
                <w:lang w:val="en"/>
              </w:rPr>
            </w:pPr>
            <w:r w:rsidRPr="00EA7030">
              <w:rPr>
                <w:b/>
                <w:i w:val="0"/>
                <w:sz w:val="20"/>
                <w:lang w:val="en"/>
              </w:rPr>
              <w:t>Embargo</w:t>
            </w:r>
            <w:r w:rsidR="00B81E62" w:rsidRPr="00EA7030">
              <w:rPr>
                <w:b/>
                <w:i w:val="0"/>
                <w:sz w:val="20"/>
                <w:lang w:val="en"/>
              </w:rPr>
              <w:t xml:space="preserve">: Privileged </w:t>
            </w:r>
            <w:r w:rsidRPr="00EA7030">
              <w:rPr>
                <w:b/>
                <w:i w:val="0"/>
                <w:sz w:val="20"/>
                <w:lang w:val="en"/>
              </w:rPr>
              <w:t>access</w:t>
            </w:r>
          </w:p>
        </w:tc>
        <w:tc>
          <w:tcPr>
            <w:tcW w:w="1862" w:type="dxa"/>
          </w:tcPr>
          <w:p w14:paraId="2371C798" w14:textId="7EFDA613" w:rsidR="00327605" w:rsidRPr="00FD3D32" w:rsidRDefault="00B1313F" w:rsidP="00EA7030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  <w:lang w:val="en"/>
              </w:rPr>
            </w:pPr>
            <w:r>
              <w:rPr>
                <w:b w:val="0"/>
                <w:i w:val="0"/>
                <w:sz w:val="20"/>
                <w:lang w:val="en"/>
              </w:rPr>
              <w:t>E</w:t>
            </w:r>
          </w:p>
        </w:tc>
        <w:tc>
          <w:tcPr>
            <w:tcW w:w="4117" w:type="dxa"/>
          </w:tcPr>
          <w:p w14:paraId="5F02CD8F" w14:textId="77777777" w:rsidR="00327605" w:rsidRPr="00FD3D32" w:rsidRDefault="00327605" w:rsidP="007E3BE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  <w:lang w:val="en"/>
              </w:rPr>
            </w:pPr>
            <w:proofErr w:type="spellStart"/>
            <w:r w:rsidRPr="00FD3D32">
              <w:rPr>
                <w:b w:val="0"/>
                <w:i w:val="0"/>
                <w:sz w:val="20"/>
                <w:lang w:val="en"/>
              </w:rPr>
              <w:t>EMBARGO_TIME</w:t>
            </w:r>
            <w:proofErr w:type="spellEnd"/>
            <w:r w:rsidRPr="00FD3D32">
              <w:rPr>
                <w:b w:val="0"/>
                <w:sz w:val="20"/>
                <w:lang w:val="en"/>
              </w:rPr>
              <w:t xml:space="preserve"> </w:t>
            </w:r>
            <w:r w:rsidRPr="00FD3D32">
              <w:rPr>
                <w:b w:val="0"/>
                <w:i w:val="0"/>
                <w:sz w:val="20"/>
                <w:lang w:val="en"/>
              </w:rPr>
              <w:t>(Observation</w:t>
            </w:r>
            <w:r w:rsidR="0092430D" w:rsidRPr="00FD3D32">
              <w:rPr>
                <w:b w:val="0"/>
                <w:i w:val="0"/>
                <w:sz w:val="20"/>
                <w:lang w:val="en"/>
              </w:rPr>
              <w:t>, Conditional</w:t>
            </w:r>
            <w:r w:rsidR="00A80D0A" w:rsidRPr="00FD3D32">
              <w:rPr>
                <w:b w:val="0"/>
                <w:i w:val="0"/>
                <w:sz w:val="20"/>
                <w:lang w:val="en"/>
              </w:rPr>
              <w:t>)</w:t>
            </w:r>
          </w:p>
          <w:p w14:paraId="0994E1C3" w14:textId="77777777" w:rsidR="00E61D7A" w:rsidRPr="00FD3D32" w:rsidRDefault="00E61D7A" w:rsidP="007E3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"/>
              </w:rPr>
            </w:pPr>
          </w:p>
        </w:tc>
        <w:tc>
          <w:tcPr>
            <w:tcW w:w="6020" w:type="dxa"/>
          </w:tcPr>
          <w:p w14:paraId="7FB10D5D" w14:textId="63D933D7" w:rsidR="00327605" w:rsidRPr="00FD3D32" w:rsidRDefault="0092430D" w:rsidP="007E3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"/>
              </w:rPr>
            </w:pPr>
            <w:r w:rsidRPr="00FD3D32">
              <w:rPr>
                <w:sz w:val="20"/>
                <w:lang w:val="en"/>
              </w:rPr>
              <w:t>Only t</w:t>
            </w:r>
            <w:r w:rsidR="00327605" w:rsidRPr="00FD3D32">
              <w:rPr>
                <w:sz w:val="20"/>
                <w:lang w:val="en"/>
              </w:rPr>
              <w:t>he</w:t>
            </w:r>
            <w:r w:rsidRPr="00FD3D32">
              <w:rPr>
                <w:sz w:val="20"/>
                <w:lang w:val="en"/>
              </w:rPr>
              <w:t xml:space="preserve"> observations with </w:t>
            </w:r>
            <w:r w:rsidR="00E61D7A" w:rsidRPr="00FD3D32">
              <w:rPr>
                <w:sz w:val="20"/>
                <w:lang w:val="en"/>
              </w:rPr>
              <w:t xml:space="preserve">an </w:t>
            </w:r>
            <w:proofErr w:type="spellStart"/>
            <w:r w:rsidR="00E61D7A" w:rsidRPr="00FD3D32">
              <w:rPr>
                <w:sz w:val="20"/>
                <w:lang w:val="en"/>
              </w:rPr>
              <w:t>EMBARGO_TIME</w:t>
            </w:r>
            <w:proofErr w:type="spellEnd"/>
            <w:r w:rsidR="00E61D7A" w:rsidRPr="00FD3D32">
              <w:rPr>
                <w:sz w:val="20"/>
                <w:lang w:val="en"/>
              </w:rPr>
              <w:t xml:space="preserve"> attribute </w:t>
            </w:r>
            <w:proofErr w:type="gramStart"/>
            <w:r w:rsidR="00327605" w:rsidRPr="00FD3D32">
              <w:rPr>
                <w:sz w:val="20"/>
                <w:lang w:val="en"/>
              </w:rPr>
              <w:t>are embargoed</w:t>
            </w:r>
            <w:proofErr w:type="gramEnd"/>
            <w:r w:rsidR="00327605" w:rsidRPr="00FD3D32">
              <w:rPr>
                <w:sz w:val="20"/>
                <w:lang w:val="en"/>
              </w:rPr>
              <w:t>.</w:t>
            </w:r>
            <w:r w:rsidR="00144C65">
              <w:t xml:space="preserve"> </w:t>
            </w:r>
            <w:r w:rsidR="00144C65">
              <w:rPr>
                <w:sz w:val="20"/>
                <w:lang w:val="en"/>
              </w:rPr>
              <w:t xml:space="preserve">After the embargo time elapses, the data are </w:t>
            </w:r>
            <w:r w:rsidR="00144C65" w:rsidRPr="00144C65">
              <w:rPr>
                <w:sz w:val="20"/>
                <w:lang w:val="en"/>
              </w:rPr>
              <w:t>free for publication</w:t>
            </w:r>
            <w:r w:rsidR="00144C65">
              <w:rPr>
                <w:sz w:val="20"/>
                <w:lang w:val="en"/>
              </w:rPr>
              <w:t xml:space="preserve"> (equivalent to F status)</w:t>
            </w:r>
            <w:r w:rsidR="00144C65" w:rsidRPr="00144C65">
              <w:rPr>
                <w:sz w:val="20"/>
                <w:lang w:val="en"/>
              </w:rPr>
              <w:t>.</w:t>
            </w:r>
          </w:p>
        </w:tc>
      </w:tr>
      <w:tr w:rsidR="00C81401" w:rsidRPr="00FD3D32" w14:paraId="2991B216" w14:textId="77777777" w:rsidTr="007E3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14:paraId="71785037" w14:textId="56101283" w:rsidR="00C81401" w:rsidRPr="007E3B7B" w:rsidRDefault="00C81401" w:rsidP="00C81401">
            <w:pPr>
              <w:pStyle w:val="Heading2"/>
              <w:jc w:val="center"/>
              <w:outlineLvl w:val="1"/>
              <w:rPr>
                <w:b/>
                <w:i w:val="0"/>
                <w:sz w:val="20"/>
                <w:lang w:val="en"/>
              </w:rPr>
            </w:pPr>
            <w:r w:rsidRPr="007E3B7B">
              <w:rPr>
                <w:b/>
                <w:i w:val="0"/>
                <w:sz w:val="20"/>
                <w:lang w:val="en"/>
              </w:rPr>
              <w:t>Embargo: Privileged access with forwarding</w:t>
            </w:r>
          </w:p>
        </w:tc>
        <w:tc>
          <w:tcPr>
            <w:tcW w:w="1862" w:type="dxa"/>
          </w:tcPr>
          <w:p w14:paraId="2FAA2FC3" w14:textId="41A30641" w:rsidR="00C81401" w:rsidRPr="00C81401" w:rsidDel="00B1313F" w:rsidRDefault="00C81401" w:rsidP="007E3B7B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  <w:lang w:val="en"/>
              </w:rPr>
            </w:pPr>
            <w:r w:rsidRPr="00C81401">
              <w:rPr>
                <w:b w:val="0"/>
                <w:bCs w:val="0"/>
                <w:i w:val="0"/>
                <w:iCs w:val="0"/>
                <w:sz w:val="20"/>
                <w:lang w:val="en"/>
              </w:rPr>
              <w:t>E</w:t>
            </w:r>
          </w:p>
        </w:tc>
        <w:tc>
          <w:tcPr>
            <w:tcW w:w="4117" w:type="dxa"/>
          </w:tcPr>
          <w:p w14:paraId="2633BD36" w14:textId="77777777" w:rsidR="00C81401" w:rsidRPr="00C81401" w:rsidRDefault="00C81401" w:rsidP="007E3BE3">
            <w:pPr>
              <w:keepNext/>
              <w:spacing w:before="240" w:after="6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"/>
              </w:rPr>
            </w:pPr>
            <w:proofErr w:type="spellStart"/>
            <w:r w:rsidRPr="00C81401">
              <w:rPr>
                <w:sz w:val="20"/>
                <w:lang w:val="en"/>
              </w:rPr>
              <w:t>EMBARGO_TIME</w:t>
            </w:r>
            <w:proofErr w:type="spellEnd"/>
            <w:r w:rsidRPr="00C81401">
              <w:rPr>
                <w:sz w:val="20"/>
                <w:lang w:val="en"/>
              </w:rPr>
              <w:t xml:space="preserve"> (Observation, Conditional)</w:t>
            </w:r>
          </w:p>
          <w:p w14:paraId="2EF72754" w14:textId="29EE930A" w:rsidR="00C81401" w:rsidRPr="00C81401" w:rsidRDefault="00C81401" w:rsidP="007E3BE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  <w:lang w:val="en"/>
              </w:rPr>
            </w:pPr>
            <w:proofErr w:type="spellStart"/>
            <w:r w:rsidRPr="00C81401">
              <w:rPr>
                <w:b w:val="0"/>
                <w:i w:val="0"/>
                <w:color w:val="auto"/>
                <w:sz w:val="20"/>
                <w:lang w:val="en"/>
              </w:rPr>
              <w:t>CONF_REDIST</w:t>
            </w:r>
            <w:proofErr w:type="spellEnd"/>
            <w:r w:rsidRPr="00C81401">
              <w:rPr>
                <w:b w:val="0"/>
                <w:i w:val="0"/>
                <w:color w:val="auto"/>
                <w:sz w:val="20"/>
                <w:lang w:val="en"/>
              </w:rPr>
              <w:t>: (Observation, Conditional)</w:t>
            </w:r>
          </w:p>
        </w:tc>
        <w:tc>
          <w:tcPr>
            <w:tcW w:w="6020" w:type="dxa"/>
          </w:tcPr>
          <w:p w14:paraId="5F557ADD" w14:textId="6BA80F0A" w:rsidR="00144C65" w:rsidRDefault="00C81401" w:rsidP="007E3BE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i w:val="0"/>
                <w:color w:val="auto"/>
                <w:sz w:val="20"/>
                <w:lang w:val="en"/>
              </w:rPr>
            </w:pPr>
            <w:r w:rsidRPr="00C81401">
              <w:rPr>
                <w:b w:val="0"/>
                <w:i w:val="0"/>
                <w:sz w:val="20"/>
                <w:lang w:val="en"/>
              </w:rPr>
              <w:t xml:space="preserve">Only the observations with an </w:t>
            </w:r>
            <w:proofErr w:type="spellStart"/>
            <w:r w:rsidRPr="00C81401">
              <w:rPr>
                <w:b w:val="0"/>
                <w:i w:val="0"/>
                <w:sz w:val="20"/>
                <w:lang w:val="en"/>
              </w:rPr>
              <w:t>EMBARGO_TIME</w:t>
            </w:r>
            <w:proofErr w:type="spellEnd"/>
            <w:r w:rsidRPr="00C81401">
              <w:rPr>
                <w:b w:val="0"/>
                <w:i w:val="0"/>
                <w:sz w:val="20"/>
                <w:lang w:val="en"/>
              </w:rPr>
              <w:t xml:space="preserve"> attribute </w:t>
            </w:r>
            <w:proofErr w:type="gramStart"/>
            <w:r w:rsidRPr="00C81401">
              <w:rPr>
                <w:b w:val="0"/>
                <w:i w:val="0"/>
                <w:sz w:val="20"/>
                <w:lang w:val="en"/>
              </w:rPr>
              <w:t>are embargoed</w:t>
            </w:r>
            <w:proofErr w:type="gramEnd"/>
            <w:r w:rsidRPr="00C81401">
              <w:rPr>
                <w:b w:val="0"/>
                <w:i w:val="0"/>
                <w:sz w:val="20"/>
                <w:lang w:val="en"/>
              </w:rPr>
              <w:t>.</w:t>
            </w:r>
            <w:r w:rsidRPr="00C81401">
              <w:rPr>
                <w:rFonts w:ascii="Times New Roman" w:hAnsi="Times New Roman"/>
                <w:b w:val="0"/>
                <w:i w:val="0"/>
                <w:color w:val="auto"/>
                <w:sz w:val="20"/>
                <w:lang w:val="en"/>
              </w:rPr>
              <w:t xml:space="preserve"> </w:t>
            </w:r>
            <w:r w:rsidR="00144C65">
              <w:rPr>
                <w:b w:val="0"/>
                <w:i w:val="0"/>
                <w:sz w:val="20"/>
                <w:lang w:val="en"/>
              </w:rPr>
              <w:t xml:space="preserve"> After the embargo time elapses, the data are </w:t>
            </w:r>
            <w:r w:rsidR="00144C65" w:rsidRPr="00144C65">
              <w:rPr>
                <w:b w:val="0"/>
                <w:i w:val="0"/>
                <w:sz w:val="20"/>
                <w:lang w:val="en"/>
              </w:rPr>
              <w:t>free for publication</w:t>
            </w:r>
            <w:r w:rsidR="00144C65">
              <w:rPr>
                <w:b w:val="0"/>
                <w:i w:val="0"/>
                <w:sz w:val="20"/>
                <w:lang w:val="en"/>
              </w:rPr>
              <w:t xml:space="preserve"> (equivalent to F status)</w:t>
            </w:r>
            <w:r w:rsidR="00144C65" w:rsidRPr="00144C65">
              <w:rPr>
                <w:b w:val="0"/>
                <w:i w:val="0"/>
                <w:sz w:val="20"/>
                <w:lang w:val="en"/>
              </w:rPr>
              <w:t>.</w:t>
            </w:r>
          </w:p>
          <w:p w14:paraId="5AAC9309" w14:textId="5BBF921E" w:rsidR="00C81401" w:rsidRPr="00C81401" w:rsidRDefault="00C81401" w:rsidP="007E3BE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0"/>
                <w:lang w:val="en"/>
              </w:rPr>
            </w:pPr>
            <w:proofErr w:type="spellStart"/>
            <w:r w:rsidRPr="00C81401">
              <w:rPr>
                <w:rFonts w:ascii="Times New Roman" w:hAnsi="Times New Roman"/>
                <w:b w:val="0"/>
                <w:i w:val="0"/>
                <w:color w:val="auto"/>
                <w:sz w:val="20"/>
                <w:lang w:val="en"/>
              </w:rPr>
              <w:t>CONF_REDIST</w:t>
            </w:r>
            <w:proofErr w:type="spellEnd"/>
            <w:r w:rsidRPr="00C81401">
              <w:rPr>
                <w:rFonts w:ascii="Times New Roman" w:hAnsi="Times New Roman"/>
                <w:b w:val="0"/>
                <w:i w:val="0"/>
                <w:color w:val="auto"/>
                <w:sz w:val="20"/>
                <w:lang w:val="en"/>
              </w:rPr>
              <w:t xml:space="preserve"> may represent multiple </w:t>
            </w:r>
            <w:proofErr w:type="spellStart"/>
            <w:r w:rsidRPr="00C81401">
              <w:rPr>
                <w:rFonts w:ascii="Times New Roman" w:hAnsi="Times New Roman"/>
                <w:b w:val="0"/>
                <w:i w:val="0"/>
                <w:color w:val="auto"/>
                <w:sz w:val="20"/>
                <w:lang w:val="en"/>
              </w:rPr>
              <w:t>organisations</w:t>
            </w:r>
            <w:proofErr w:type="spellEnd"/>
          </w:p>
        </w:tc>
      </w:tr>
      <w:tr w:rsidR="00C81401" w:rsidRPr="00FD3D32" w14:paraId="2A2DD87E" w14:textId="77777777" w:rsidTr="007E3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</w:tcPr>
          <w:p w14:paraId="1F0923F9" w14:textId="77777777" w:rsidR="00C81401" w:rsidRPr="007E3B7B" w:rsidRDefault="00C81401" w:rsidP="00C81401">
            <w:pPr>
              <w:pStyle w:val="Heading2"/>
              <w:jc w:val="center"/>
              <w:outlineLvl w:val="1"/>
              <w:rPr>
                <w:b/>
                <w:i w:val="0"/>
                <w:sz w:val="20"/>
                <w:lang w:val="en"/>
              </w:rPr>
            </w:pPr>
            <w:r w:rsidRPr="007E3B7B">
              <w:rPr>
                <w:b/>
                <w:i w:val="0"/>
                <w:sz w:val="20"/>
                <w:lang w:val="en"/>
              </w:rPr>
              <w:t>Embargo: Frontloading</w:t>
            </w:r>
          </w:p>
        </w:tc>
        <w:tc>
          <w:tcPr>
            <w:tcW w:w="1862" w:type="dxa"/>
          </w:tcPr>
          <w:p w14:paraId="3CB5C6D9" w14:textId="77777777" w:rsidR="00C81401" w:rsidRPr="00FD3D32" w:rsidRDefault="00C81401" w:rsidP="007E3B7B">
            <w:pPr>
              <w:pStyle w:val="Heading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  <w:lang w:val="en"/>
              </w:rPr>
            </w:pPr>
            <w:r w:rsidRPr="00FD3D32">
              <w:rPr>
                <w:b w:val="0"/>
                <w:i w:val="0"/>
                <w:sz w:val="20"/>
                <w:lang w:val="en"/>
              </w:rPr>
              <w:t>Set to the required confidentiality status after the embargo time elapses.</w:t>
            </w:r>
          </w:p>
        </w:tc>
        <w:tc>
          <w:tcPr>
            <w:tcW w:w="4117" w:type="dxa"/>
          </w:tcPr>
          <w:p w14:paraId="249A3FEF" w14:textId="77777777" w:rsidR="00C81401" w:rsidRPr="00FD3D32" w:rsidRDefault="00C81401" w:rsidP="007E3BE3">
            <w:pPr>
              <w:pStyle w:val="Heading2"/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0"/>
                <w:lang w:val="en"/>
              </w:rPr>
            </w:pPr>
            <w:r w:rsidRPr="00FD3D32">
              <w:rPr>
                <w:b w:val="0"/>
                <w:i w:val="0"/>
                <w:sz w:val="20"/>
                <w:lang w:val="en"/>
              </w:rPr>
              <w:t>&lt;Header\</w:t>
            </w:r>
            <w:proofErr w:type="spellStart"/>
            <w:r w:rsidRPr="00FD3D32">
              <w:rPr>
                <w:b w:val="0"/>
                <w:i w:val="0"/>
                <w:sz w:val="20"/>
                <w:lang w:val="en"/>
              </w:rPr>
              <w:t>EmbargoDate</w:t>
            </w:r>
            <w:proofErr w:type="spellEnd"/>
            <w:r w:rsidRPr="00FD3D32">
              <w:rPr>
                <w:b w:val="0"/>
                <w:i w:val="0"/>
                <w:sz w:val="20"/>
                <w:lang w:val="en"/>
              </w:rPr>
              <w:t>&gt;: [timestamp]</w:t>
            </w:r>
          </w:p>
          <w:p w14:paraId="4C938A24" w14:textId="77777777" w:rsidR="00C81401" w:rsidRPr="003C5831" w:rsidRDefault="00C81401" w:rsidP="007E3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20"/>
                <w:lang w:val="en"/>
              </w:rPr>
            </w:pPr>
          </w:p>
        </w:tc>
        <w:tc>
          <w:tcPr>
            <w:tcW w:w="6020" w:type="dxa"/>
          </w:tcPr>
          <w:p w14:paraId="53276A82" w14:textId="4E927353" w:rsidR="00C81401" w:rsidRPr="00FD3D32" w:rsidRDefault="00C81401" w:rsidP="007E3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"/>
              </w:rPr>
            </w:pPr>
            <w:r w:rsidRPr="00FD3D32">
              <w:rPr>
                <w:sz w:val="20"/>
                <w:lang w:val="en"/>
              </w:rPr>
              <w:t xml:space="preserve">There is no </w:t>
            </w:r>
            <w:proofErr w:type="spellStart"/>
            <w:r w:rsidRPr="00FD3D32">
              <w:rPr>
                <w:sz w:val="20"/>
                <w:lang w:val="en"/>
              </w:rPr>
              <w:t>EMBARGO_TIME</w:t>
            </w:r>
            <w:proofErr w:type="spellEnd"/>
            <w:r w:rsidRPr="00FD3D32">
              <w:rPr>
                <w:sz w:val="20"/>
                <w:lang w:val="en"/>
              </w:rPr>
              <w:t xml:space="preserve"> attribute as </w:t>
            </w:r>
            <w:r w:rsidRPr="00EF5E9A">
              <w:rPr>
                <w:sz w:val="20"/>
                <w:lang w:val="en"/>
              </w:rPr>
              <w:t xml:space="preserve">the whole message </w:t>
            </w:r>
            <w:proofErr w:type="gramStart"/>
            <w:r w:rsidRPr="00EF5E9A">
              <w:rPr>
                <w:sz w:val="20"/>
                <w:lang w:val="en"/>
              </w:rPr>
              <w:t>is</w:t>
            </w:r>
            <w:r w:rsidRPr="00FD3D32">
              <w:rPr>
                <w:sz w:val="20"/>
                <w:lang w:val="en"/>
              </w:rPr>
              <w:t xml:space="preserve"> embargoed</w:t>
            </w:r>
            <w:proofErr w:type="gramEnd"/>
            <w:r>
              <w:rPr>
                <w:sz w:val="20"/>
                <w:lang w:val="en"/>
              </w:rPr>
              <w:t xml:space="preserve"> with no privileged access</w:t>
            </w:r>
            <w:r w:rsidRPr="00FD3D32">
              <w:rPr>
                <w:sz w:val="20"/>
                <w:lang w:val="en"/>
              </w:rPr>
              <w:t>.</w:t>
            </w:r>
            <w:r>
              <w:rPr>
                <w:sz w:val="20"/>
                <w:lang w:val="en"/>
              </w:rPr>
              <w:t xml:space="preserve"> </w:t>
            </w:r>
          </w:p>
        </w:tc>
      </w:tr>
    </w:tbl>
    <w:p w14:paraId="3BD71664" w14:textId="172C7189" w:rsidR="00033893" w:rsidRPr="00033893" w:rsidRDefault="00033893" w:rsidP="007E3BE3"/>
    <w:sectPr w:rsidR="00033893" w:rsidRPr="00033893" w:rsidSect="0000718D">
      <w:footerReference w:type="defaul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B130C" w14:textId="77777777" w:rsidR="00DA046B" w:rsidRDefault="00DA046B" w:rsidP="00046790">
      <w:r>
        <w:separator/>
      </w:r>
    </w:p>
  </w:endnote>
  <w:endnote w:type="continuationSeparator" w:id="0">
    <w:p w14:paraId="30DB15BE" w14:textId="77777777" w:rsidR="00DA046B" w:rsidRDefault="00DA046B" w:rsidP="0004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771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665C0" w14:textId="4713290F" w:rsidR="00EA7030" w:rsidRDefault="00EA70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7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9CA214F" w14:textId="77777777" w:rsidR="00EA7030" w:rsidRDefault="00EA7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065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814DC" w14:textId="3A4A6DAF" w:rsidR="00DC542A" w:rsidRDefault="00DC54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7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DC51D7A" w14:textId="77777777" w:rsidR="00DC542A" w:rsidRDefault="00DC5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D829E" w14:textId="77777777" w:rsidR="00DA046B" w:rsidRDefault="00DA046B" w:rsidP="00046790">
      <w:r>
        <w:separator/>
      </w:r>
    </w:p>
  </w:footnote>
  <w:footnote w:type="continuationSeparator" w:id="0">
    <w:p w14:paraId="16C1F5C1" w14:textId="77777777" w:rsidR="00DA046B" w:rsidRDefault="00DA046B" w:rsidP="00046790">
      <w:r>
        <w:continuationSeparator/>
      </w:r>
    </w:p>
  </w:footnote>
  <w:footnote w:id="1">
    <w:p w14:paraId="3B74454B" w14:textId="77F0BBE9" w:rsidR="003F1533" w:rsidRDefault="003F15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3370F">
        <w:t xml:space="preserve">For a full list of confidentiality statuses, see </w:t>
      </w:r>
      <w:hyperlink r:id="rId1" w:history="1">
        <w:r w:rsidR="00F92793" w:rsidRPr="00CB586E">
          <w:rPr>
            <w:rStyle w:val="Hyperlink"/>
          </w:rPr>
          <w:t>https://sdmx.org/wp-content/uploads/CL_CONF_STATUS_1_2_2018.docx</w:t>
        </w:r>
      </w:hyperlink>
      <w:r w:rsidR="00F92793">
        <w:t>.</w:t>
      </w:r>
    </w:p>
  </w:footnote>
  <w:footnote w:id="2">
    <w:p w14:paraId="76932EE7" w14:textId="4F000EA9" w:rsidR="008D147E" w:rsidRDefault="008D147E" w:rsidP="00CA7F3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Example: </w:t>
      </w:r>
      <w:r w:rsidR="00CA7F38">
        <w:t>National statistical institute</w:t>
      </w:r>
      <w:r>
        <w:t xml:space="preserve"> XX reporting data to Eurostat indicates that Eurostat can forward those data to the ECB, IMF and OECD.</w:t>
      </w:r>
      <w:r w:rsidR="00CA7F38">
        <w:t xml:space="preserve">  </w:t>
      </w:r>
      <w:r>
        <w:t>More complex use case: The reporting organi</w:t>
      </w:r>
      <w:r w:rsidR="00CA7F38">
        <w:t>z</w:t>
      </w:r>
      <w:r>
        <w:t xml:space="preserve">ation </w:t>
      </w:r>
      <w:r w:rsidR="00CA7F38">
        <w:t>specifies</w:t>
      </w:r>
      <w:r>
        <w:t xml:space="preserve"> that Eurostat can forward those data only to the ECB Statistics </w:t>
      </w:r>
      <w:r w:rsidR="00CA7F38">
        <w:t>D</w:t>
      </w:r>
      <w:r>
        <w:t>epartment</w:t>
      </w:r>
      <w:r w:rsidR="00CA7F38">
        <w:t xml:space="preserve">, thus excluding all </w:t>
      </w:r>
      <w:r>
        <w:t xml:space="preserve">other </w:t>
      </w:r>
      <w:r w:rsidR="00CA7F38">
        <w:t>organi</w:t>
      </w:r>
      <w:r w:rsidR="002D7A6D">
        <w:t>s</w:t>
      </w:r>
      <w:r w:rsidR="00CA7F38">
        <w:t xml:space="preserve">ations as well as all other </w:t>
      </w:r>
      <w:r>
        <w:t>ECB departments.</w:t>
      </w:r>
    </w:p>
  </w:footnote>
  <w:footnote w:id="3">
    <w:p w14:paraId="077B39E6" w14:textId="21E57892" w:rsidR="00C327B5" w:rsidRDefault="00C327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E3BE3">
        <w:t xml:space="preserve"> </w:t>
      </w:r>
      <w:hyperlink r:id="rId2" w:history="1">
        <w:r w:rsidR="00F92793" w:rsidRPr="00CB586E">
          <w:rPr>
            <w:rStyle w:val="Hyperlink"/>
          </w:rPr>
          <w:t>https://</w:t>
        </w:r>
        <w:proofErr w:type="spellStart"/>
        <w:r w:rsidR="00F92793" w:rsidRPr="00CB586E">
          <w:rPr>
            <w:rStyle w:val="Hyperlink"/>
          </w:rPr>
          <w:t>sdmx.org</w:t>
        </w:r>
        <w:proofErr w:type="spellEnd"/>
        <w:r w:rsidR="00F92793" w:rsidRPr="00CB586E">
          <w:rPr>
            <w:rStyle w:val="Hyperlink"/>
          </w:rPr>
          <w:t>/</w:t>
        </w:r>
        <w:proofErr w:type="spellStart"/>
        <w:r w:rsidR="00F92793" w:rsidRPr="00CB586E">
          <w:rPr>
            <w:rStyle w:val="Hyperlink"/>
          </w:rPr>
          <w:t>wp</w:t>
        </w:r>
        <w:proofErr w:type="spellEnd"/>
        <w:r w:rsidR="00F92793" w:rsidRPr="00CB586E">
          <w:rPr>
            <w:rStyle w:val="Hyperlink"/>
          </w:rPr>
          <w:t>-content/uploads/</w:t>
        </w:r>
        <w:proofErr w:type="spellStart"/>
        <w:r w:rsidR="00F92793" w:rsidRPr="00CB586E">
          <w:rPr>
            <w:rStyle w:val="Hyperlink"/>
          </w:rPr>
          <w:t>CL_CONF_STATUS_1_2_2018.docx</w:t>
        </w:r>
        <w:proofErr w:type="spellEnd"/>
      </w:hyperlink>
      <w:r w:rsidR="00F92793">
        <w:t xml:space="preserve"> 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47C04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B6454"/>
    <w:multiLevelType w:val="hybridMultilevel"/>
    <w:tmpl w:val="7638C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22E94"/>
    <w:multiLevelType w:val="hybridMultilevel"/>
    <w:tmpl w:val="604803AC"/>
    <w:lvl w:ilvl="0" w:tplc="08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7D65262"/>
    <w:multiLevelType w:val="hybridMultilevel"/>
    <w:tmpl w:val="71CADF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65CF"/>
    <w:multiLevelType w:val="hybridMultilevel"/>
    <w:tmpl w:val="F95A8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337"/>
    <w:multiLevelType w:val="hybridMultilevel"/>
    <w:tmpl w:val="90D013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22127"/>
    <w:multiLevelType w:val="hybridMultilevel"/>
    <w:tmpl w:val="2DE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25D15"/>
    <w:multiLevelType w:val="hybridMultilevel"/>
    <w:tmpl w:val="6FE07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77635"/>
    <w:multiLevelType w:val="hybridMultilevel"/>
    <w:tmpl w:val="25348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4AFF"/>
    <w:multiLevelType w:val="hybridMultilevel"/>
    <w:tmpl w:val="A4CC9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2367A"/>
    <w:multiLevelType w:val="hybridMultilevel"/>
    <w:tmpl w:val="344E25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3F2D8E"/>
    <w:multiLevelType w:val="hybridMultilevel"/>
    <w:tmpl w:val="DEB42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053DA"/>
    <w:multiLevelType w:val="hybridMultilevel"/>
    <w:tmpl w:val="42B8F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163C3"/>
    <w:multiLevelType w:val="hybridMultilevel"/>
    <w:tmpl w:val="CBA06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B3EC0"/>
    <w:multiLevelType w:val="hybridMultilevel"/>
    <w:tmpl w:val="293A21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FF13F9"/>
    <w:multiLevelType w:val="hybridMultilevel"/>
    <w:tmpl w:val="4732D2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A5EC6"/>
    <w:multiLevelType w:val="hybridMultilevel"/>
    <w:tmpl w:val="274CFC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1A7134"/>
    <w:multiLevelType w:val="hybridMultilevel"/>
    <w:tmpl w:val="3FA63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8D505F"/>
    <w:multiLevelType w:val="hybridMultilevel"/>
    <w:tmpl w:val="5DE48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62D6E"/>
    <w:multiLevelType w:val="multilevel"/>
    <w:tmpl w:val="1B285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CE3304"/>
    <w:multiLevelType w:val="hybridMultilevel"/>
    <w:tmpl w:val="8EDE6F9A"/>
    <w:lvl w:ilvl="0" w:tplc="C97E963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2578D"/>
    <w:multiLevelType w:val="hybridMultilevel"/>
    <w:tmpl w:val="25348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316091"/>
    <w:multiLevelType w:val="hybridMultilevel"/>
    <w:tmpl w:val="700623A4"/>
    <w:lvl w:ilvl="0" w:tplc="0809000F">
      <w:start w:val="1"/>
      <w:numFmt w:val="decimal"/>
      <w:lvlText w:val="%1."/>
      <w:lvlJc w:val="left"/>
      <w:pPr>
        <w:ind w:left="1788" w:hanging="360"/>
      </w:p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6A39522F"/>
    <w:multiLevelType w:val="hybridMultilevel"/>
    <w:tmpl w:val="BF3A90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3537C"/>
    <w:multiLevelType w:val="hybridMultilevel"/>
    <w:tmpl w:val="6914B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20"/>
  </w:num>
  <w:num w:numId="6">
    <w:abstractNumId w:val="13"/>
  </w:num>
  <w:num w:numId="7">
    <w:abstractNumId w:val="12"/>
  </w:num>
  <w:num w:numId="8">
    <w:abstractNumId w:val="19"/>
  </w:num>
  <w:num w:numId="9">
    <w:abstractNumId w:val="11"/>
  </w:num>
  <w:num w:numId="10">
    <w:abstractNumId w:val="14"/>
  </w:num>
  <w:num w:numId="11">
    <w:abstractNumId w:val="23"/>
  </w:num>
  <w:num w:numId="12">
    <w:abstractNumId w:val="18"/>
  </w:num>
  <w:num w:numId="13">
    <w:abstractNumId w:val="8"/>
  </w:num>
  <w:num w:numId="14">
    <w:abstractNumId w:val="16"/>
  </w:num>
  <w:num w:numId="15">
    <w:abstractNumId w:val="22"/>
  </w:num>
  <w:num w:numId="16">
    <w:abstractNumId w:val="1"/>
  </w:num>
  <w:num w:numId="17">
    <w:abstractNumId w:val="15"/>
  </w:num>
  <w:num w:numId="18">
    <w:abstractNumId w:val="4"/>
  </w:num>
  <w:num w:numId="19">
    <w:abstractNumId w:val="24"/>
  </w:num>
  <w:num w:numId="20">
    <w:abstractNumId w:val="10"/>
  </w:num>
  <w:num w:numId="21">
    <w:abstractNumId w:val="17"/>
  </w:num>
  <w:num w:numId="22">
    <w:abstractNumId w:val="3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7"/>
  </w:num>
  <w:num w:numId="28">
    <w:abstractNumId w:val="0"/>
  </w:num>
  <w:num w:numId="29">
    <w:abstractNumId w:val="0"/>
  </w:num>
  <w:num w:numId="30">
    <w:abstractNumId w:val="21"/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C5859"/>
    <w:rsid w:val="0000424C"/>
    <w:rsid w:val="0000718D"/>
    <w:rsid w:val="00023EF6"/>
    <w:rsid w:val="00031823"/>
    <w:rsid w:val="00033197"/>
    <w:rsid w:val="00033893"/>
    <w:rsid w:val="00034D38"/>
    <w:rsid w:val="0004110F"/>
    <w:rsid w:val="00041A6F"/>
    <w:rsid w:val="00045913"/>
    <w:rsid w:val="00046790"/>
    <w:rsid w:val="000473A5"/>
    <w:rsid w:val="00047E7E"/>
    <w:rsid w:val="00050453"/>
    <w:rsid w:val="00051524"/>
    <w:rsid w:val="00051657"/>
    <w:rsid w:val="00053571"/>
    <w:rsid w:val="00054301"/>
    <w:rsid w:val="00055F1C"/>
    <w:rsid w:val="00056E23"/>
    <w:rsid w:val="00057AD0"/>
    <w:rsid w:val="00057F15"/>
    <w:rsid w:val="0006064F"/>
    <w:rsid w:val="00062EE0"/>
    <w:rsid w:val="00076378"/>
    <w:rsid w:val="00076E57"/>
    <w:rsid w:val="00077BAB"/>
    <w:rsid w:val="00080D8D"/>
    <w:rsid w:val="00081322"/>
    <w:rsid w:val="00081391"/>
    <w:rsid w:val="00082303"/>
    <w:rsid w:val="0008360E"/>
    <w:rsid w:val="00083CC7"/>
    <w:rsid w:val="00090758"/>
    <w:rsid w:val="00092C98"/>
    <w:rsid w:val="00095717"/>
    <w:rsid w:val="000A001E"/>
    <w:rsid w:val="000A08BA"/>
    <w:rsid w:val="000A2BC6"/>
    <w:rsid w:val="000A31CB"/>
    <w:rsid w:val="000A46A6"/>
    <w:rsid w:val="000A688B"/>
    <w:rsid w:val="000B10CD"/>
    <w:rsid w:val="000B511B"/>
    <w:rsid w:val="000B568D"/>
    <w:rsid w:val="000C4557"/>
    <w:rsid w:val="000C65E1"/>
    <w:rsid w:val="000C69E0"/>
    <w:rsid w:val="000C6FFD"/>
    <w:rsid w:val="000D19F8"/>
    <w:rsid w:val="000D4BE8"/>
    <w:rsid w:val="000E03AA"/>
    <w:rsid w:val="000E180D"/>
    <w:rsid w:val="000E22F8"/>
    <w:rsid w:val="000E38B0"/>
    <w:rsid w:val="000E503A"/>
    <w:rsid w:val="000F2041"/>
    <w:rsid w:val="000F27EA"/>
    <w:rsid w:val="000F45FA"/>
    <w:rsid w:val="000F5CE4"/>
    <w:rsid w:val="000F6633"/>
    <w:rsid w:val="000F7B04"/>
    <w:rsid w:val="0010032D"/>
    <w:rsid w:val="001038E3"/>
    <w:rsid w:val="00103FF2"/>
    <w:rsid w:val="00105CD2"/>
    <w:rsid w:val="00111C00"/>
    <w:rsid w:val="0011615C"/>
    <w:rsid w:val="00116436"/>
    <w:rsid w:val="0011699A"/>
    <w:rsid w:val="00120EDF"/>
    <w:rsid w:val="001218AC"/>
    <w:rsid w:val="00123386"/>
    <w:rsid w:val="00125C69"/>
    <w:rsid w:val="00125CA8"/>
    <w:rsid w:val="001261BE"/>
    <w:rsid w:val="001270FB"/>
    <w:rsid w:val="00131256"/>
    <w:rsid w:val="0013370F"/>
    <w:rsid w:val="0013395F"/>
    <w:rsid w:val="00136380"/>
    <w:rsid w:val="00136AE6"/>
    <w:rsid w:val="001371BC"/>
    <w:rsid w:val="00142DF6"/>
    <w:rsid w:val="0014397E"/>
    <w:rsid w:val="001444D1"/>
    <w:rsid w:val="00144C65"/>
    <w:rsid w:val="00147BA7"/>
    <w:rsid w:val="00152985"/>
    <w:rsid w:val="0015409A"/>
    <w:rsid w:val="00155F7A"/>
    <w:rsid w:val="0015780E"/>
    <w:rsid w:val="001613BD"/>
    <w:rsid w:val="00161499"/>
    <w:rsid w:val="00162502"/>
    <w:rsid w:val="00164606"/>
    <w:rsid w:val="00170A05"/>
    <w:rsid w:val="0017454A"/>
    <w:rsid w:val="001752D3"/>
    <w:rsid w:val="00175EED"/>
    <w:rsid w:val="00176DA9"/>
    <w:rsid w:val="00177307"/>
    <w:rsid w:val="00177DF7"/>
    <w:rsid w:val="00180671"/>
    <w:rsid w:val="00181EBC"/>
    <w:rsid w:val="00183959"/>
    <w:rsid w:val="001846B7"/>
    <w:rsid w:val="00190347"/>
    <w:rsid w:val="00191E12"/>
    <w:rsid w:val="00191FF0"/>
    <w:rsid w:val="00193DB8"/>
    <w:rsid w:val="00195E3A"/>
    <w:rsid w:val="0019745A"/>
    <w:rsid w:val="001A0293"/>
    <w:rsid w:val="001A2DAC"/>
    <w:rsid w:val="001A3783"/>
    <w:rsid w:val="001A4124"/>
    <w:rsid w:val="001B2842"/>
    <w:rsid w:val="001B3B47"/>
    <w:rsid w:val="001B5C2E"/>
    <w:rsid w:val="001C29DC"/>
    <w:rsid w:val="001C4181"/>
    <w:rsid w:val="001C6B24"/>
    <w:rsid w:val="001D0901"/>
    <w:rsid w:val="001D3DD6"/>
    <w:rsid w:val="001D7E7B"/>
    <w:rsid w:val="001E1315"/>
    <w:rsid w:val="001E1CC5"/>
    <w:rsid w:val="001E373A"/>
    <w:rsid w:val="001E376B"/>
    <w:rsid w:val="001E5CD7"/>
    <w:rsid w:val="001E7430"/>
    <w:rsid w:val="001E7D78"/>
    <w:rsid w:val="001F06BF"/>
    <w:rsid w:val="001F0C07"/>
    <w:rsid w:val="001F3827"/>
    <w:rsid w:val="001F3A82"/>
    <w:rsid w:val="001F5682"/>
    <w:rsid w:val="001F6A97"/>
    <w:rsid w:val="00200A78"/>
    <w:rsid w:val="002018E2"/>
    <w:rsid w:val="00201DBB"/>
    <w:rsid w:val="00202B7B"/>
    <w:rsid w:val="00203EE7"/>
    <w:rsid w:val="00205137"/>
    <w:rsid w:val="0021091C"/>
    <w:rsid w:val="00210BE8"/>
    <w:rsid w:val="00211042"/>
    <w:rsid w:val="002128BC"/>
    <w:rsid w:val="002139D9"/>
    <w:rsid w:val="002158A9"/>
    <w:rsid w:val="00216C93"/>
    <w:rsid w:val="00217B1B"/>
    <w:rsid w:val="00221C91"/>
    <w:rsid w:val="00223C29"/>
    <w:rsid w:val="002266D8"/>
    <w:rsid w:val="002306A0"/>
    <w:rsid w:val="0023357F"/>
    <w:rsid w:val="002338D0"/>
    <w:rsid w:val="00234A00"/>
    <w:rsid w:val="00237B1A"/>
    <w:rsid w:val="002425E9"/>
    <w:rsid w:val="00245893"/>
    <w:rsid w:val="00250757"/>
    <w:rsid w:val="002558C2"/>
    <w:rsid w:val="00255DB4"/>
    <w:rsid w:val="0026128B"/>
    <w:rsid w:val="002649A6"/>
    <w:rsid w:val="0027039C"/>
    <w:rsid w:val="00270745"/>
    <w:rsid w:val="00271B4F"/>
    <w:rsid w:val="00274A9B"/>
    <w:rsid w:val="0027511B"/>
    <w:rsid w:val="002757EA"/>
    <w:rsid w:val="00276A37"/>
    <w:rsid w:val="00281908"/>
    <w:rsid w:val="002843C4"/>
    <w:rsid w:val="00284DB1"/>
    <w:rsid w:val="00286409"/>
    <w:rsid w:val="00294F78"/>
    <w:rsid w:val="00296CCC"/>
    <w:rsid w:val="00297BE1"/>
    <w:rsid w:val="002A5687"/>
    <w:rsid w:val="002A7B3E"/>
    <w:rsid w:val="002B1957"/>
    <w:rsid w:val="002B2522"/>
    <w:rsid w:val="002B501E"/>
    <w:rsid w:val="002B5141"/>
    <w:rsid w:val="002C13AC"/>
    <w:rsid w:val="002C1496"/>
    <w:rsid w:val="002C42EA"/>
    <w:rsid w:val="002C5CE6"/>
    <w:rsid w:val="002C64EB"/>
    <w:rsid w:val="002C6CDF"/>
    <w:rsid w:val="002C7DC9"/>
    <w:rsid w:val="002D1613"/>
    <w:rsid w:val="002D384A"/>
    <w:rsid w:val="002D56AD"/>
    <w:rsid w:val="002D7A6D"/>
    <w:rsid w:val="002D7B2D"/>
    <w:rsid w:val="002E303A"/>
    <w:rsid w:val="002E40F9"/>
    <w:rsid w:val="002E654C"/>
    <w:rsid w:val="002E7C68"/>
    <w:rsid w:val="002E7DE9"/>
    <w:rsid w:val="002F0CF9"/>
    <w:rsid w:val="002F0F6B"/>
    <w:rsid w:val="002F1511"/>
    <w:rsid w:val="002F65BA"/>
    <w:rsid w:val="002F6738"/>
    <w:rsid w:val="00304BF1"/>
    <w:rsid w:val="003100C6"/>
    <w:rsid w:val="0031158B"/>
    <w:rsid w:val="003124C1"/>
    <w:rsid w:val="0031289E"/>
    <w:rsid w:val="0031459E"/>
    <w:rsid w:val="003272C0"/>
    <w:rsid w:val="00327605"/>
    <w:rsid w:val="00330AD7"/>
    <w:rsid w:val="00332A54"/>
    <w:rsid w:val="00334D16"/>
    <w:rsid w:val="00335C85"/>
    <w:rsid w:val="003401D7"/>
    <w:rsid w:val="0034273A"/>
    <w:rsid w:val="003450C1"/>
    <w:rsid w:val="003471DA"/>
    <w:rsid w:val="003503DA"/>
    <w:rsid w:val="0035181D"/>
    <w:rsid w:val="00355011"/>
    <w:rsid w:val="00356135"/>
    <w:rsid w:val="00360633"/>
    <w:rsid w:val="00362FB7"/>
    <w:rsid w:val="0036348B"/>
    <w:rsid w:val="0037584D"/>
    <w:rsid w:val="003771FF"/>
    <w:rsid w:val="00382C8B"/>
    <w:rsid w:val="003835F2"/>
    <w:rsid w:val="00383DA6"/>
    <w:rsid w:val="0038594C"/>
    <w:rsid w:val="0038665F"/>
    <w:rsid w:val="00390245"/>
    <w:rsid w:val="0039182F"/>
    <w:rsid w:val="003934D6"/>
    <w:rsid w:val="00393EB7"/>
    <w:rsid w:val="00397C54"/>
    <w:rsid w:val="003A12B9"/>
    <w:rsid w:val="003A5C65"/>
    <w:rsid w:val="003A6A3F"/>
    <w:rsid w:val="003B0D41"/>
    <w:rsid w:val="003B3101"/>
    <w:rsid w:val="003B5481"/>
    <w:rsid w:val="003B5645"/>
    <w:rsid w:val="003B63AE"/>
    <w:rsid w:val="003B6C96"/>
    <w:rsid w:val="003C39B3"/>
    <w:rsid w:val="003C3CAD"/>
    <w:rsid w:val="003C5831"/>
    <w:rsid w:val="003D6E3F"/>
    <w:rsid w:val="003D7900"/>
    <w:rsid w:val="003D7C64"/>
    <w:rsid w:val="003E2FFA"/>
    <w:rsid w:val="003E724C"/>
    <w:rsid w:val="003E7877"/>
    <w:rsid w:val="003F1533"/>
    <w:rsid w:val="003F1D5C"/>
    <w:rsid w:val="003F2393"/>
    <w:rsid w:val="00401356"/>
    <w:rsid w:val="00401D07"/>
    <w:rsid w:val="00405123"/>
    <w:rsid w:val="0040543A"/>
    <w:rsid w:val="00405708"/>
    <w:rsid w:val="00406395"/>
    <w:rsid w:val="0040655C"/>
    <w:rsid w:val="00413088"/>
    <w:rsid w:val="00414789"/>
    <w:rsid w:val="0041631E"/>
    <w:rsid w:val="00421DAE"/>
    <w:rsid w:val="004245F9"/>
    <w:rsid w:val="00426B73"/>
    <w:rsid w:val="00430A20"/>
    <w:rsid w:val="00432004"/>
    <w:rsid w:val="004327E5"/>
    <w:rsid w:val="004364FA"/>
    <w:rsid w:val="004374CA"/>
    <w:rsid w:val="004410C8"/>
    <w:rsid w:val="004424C6"/>
    <w:rsid w:val="004430B0"/>
    <w:rsid w:val="00444195"/>
    <w:rsid w:val="00447A0D"/>
    <w:rsid w:val="00451473"/>
    <w:rsid w:val="00451C52"/>
    <w:rsid w:val="0045496B"/>
    <w:rsid w:val="00457FF8"/>
    <w:rsid w:val="00460163"/>
    <w:rsid w:val="004603FB"/>
    <w:rsid w:val="00466B26"/>
    <w:rsid w:val="00474A5E"/>
    <w:rsid w:val="00475B9F"/>
    <w:rsid w:val="0047786D"/>
    <w:rsid w:val="00480D1F"/>
    <w:rsid w:val="004810F5"/>
    <w:rsid w:val="00487862"/>
    <w:rsid w:val="00494BFC"/>
    <w:rsid w:val="004950E8"/>
    <w:rsid w:val="004A04F0"/>
    <w:rsid w:val="004A07C0"/>
    <w:rsid w:val="004A2078"/>
    <w:rsid w:val="004A3331"/>
    <w:rsid w:val="004A3CB7"/>
    <w:rsid w:val="004A5152"/>
    <w:rsid w:val="004A692C"/>
    <w:rsid w:val="004B0854"/>
    <w:rsid w:val="004B1638"/>
    <w:rsid w:val="004B3B15"/>
    <w:rsid w:val="004B40E1"/>
    <w:rsid w:val="004C2AB8"/>
    <w:rsid w:val="004C4373"/>
    <w:rsid w:val="004C5962"/>
    <w:rsid w:val="004C68BC"/>
    <w:rsid w:val="004C7DE4"/>
    <w:rsid w:val="004D0208"/>
    <w:rsid w:val="004D0BD1"/>
    <w:rsid w:val="004D3E05"/>
    <w:rsid w:val="004D60BE"/>
    <w:rsid w:val="004E109B"/>
    <w:rsid w:val="004E11D7"/>
    <w:rsid w:val="004E711A"/>
    <w:rsid w:val="004F3C5D"/>
    <w:rsid w:val="004F7C82"/>
    <w:rsid w:val="00500C5B"/>
    <w:rsid w:val="00502AD4"/>
    <w:rsid w:val="005032BC"/>
    <w:rsid w:val="00511D47"/>
    <w:rsid w:val="00514D38"/>
    <w:rsid w:val="005204CE"/>
    <w:rsid w:val="00530EA0"/>
    <w:rsid w:val="00535E68"/>
    <w:rsid w:val="00536F6E"/>
    <w:rsid w:val="0053703F"/>
    <w:rsid w:val="005434F1"/>
    <w:rsid w:val="00543EB9"/>
    <w:rsid w:val="005452C8"/>
    <w:rsid w:val="00546CDD"/>
    <w:rsid w:val="00547E31"/>
    <w:rsid w:val="00553786"/>
    <w:rsid w:val="00553ADB"/>
    <w:rsid w:val="00555936"/>
    <w:rsid w:val="00556105"/>
    <w:rsid w:val="005576FF"/>
    <w:rsid w:val="00561720"/>
    <w:rsid w:val="00563EB5"/>
    <w:rsid w:val="00564D59"/>
    <w:rsid w:val="00566015"/>
    <w:rsid w:val="00570760"/>
    <w:rsid w:val="005718D8"/>
    <w:rsid w:val="00572420"/>
    <w:rsid w:val="005729C9"/>
    <w:rsid w:val="00575105"/>
    <w:rsid w:val="00575EB0"/>
    <w:rsid w:val="005764F4"/>
    <w:rsid w:val="00583AAF"/>
    <w:rsid w:val="00585AC0"/>
    <w:rsid w:val="005863F5"/>
    <w:rsid w:val="0058667A"/>
    <w:rsid w:val="005911AB"/>
    <w:rsid w:val="00591358"/>
    <w:rsid w:val="00591B8E"/>
    <w:rsid w:val="00592D0E"/>
    <w:rsid w:val="00593839"/>
    <w:rsid w:val="005A7581"/>
    <w:rsid w:val="005A79D6"/>
    <w:rsid w:val="005B0FE3"/>
    <w:rsid w:val="005B1C04"/>
    <w:rsid w:val="005B4666"/>
    <w:rsid w:val="005C15AD"/>
    <w:rsid w:val="005C47B0"/>
    <w:rsid w:val="005C4810"/>
    <w:rsid w:val="005C5859"/>
    <w:rsid w:val="005C5AAC"/>
    <w:rsid w:val="005C65DF"/>
    <w:rsid w:val="005D0014"/>
    <w:rsid w:val="005D143F"/>
    <w:rsid w:val="005D171F"/>
    <w:rsid w:val="005D2346"/>
    <w:rsid w:val="005D2E19"/>
    <w:rsid w:val="005D3257"/>
    <w:rsid w:val="005D3513"/>
    <w:rsid w:val="005D3F14"/>
    <w:rsid w:val="005D6A1C"/>
    <w:rsid w:val="005E1251"/>
    <w:rsid w:val="005E1556"/>
    <w:rsid w:val="005E3358"/>
    <w:rsid w:val="005E36AA"/>
    <w:rsid w:val="005E431C"/>
    <w:rsid w:val="005E52DF"/>
    <w:rsid w:val="005E6786"/>
    <w:rsid w:val="005E762C"/>
    <w:rsid w:val="005F0113"/>
    <w:rsid w:val="005F33B0"/>
    <w:rsid w:val="005F50C1"/>
    <w:rsid w:val="005F6B7B"/>
    <w:rsid w:val="005F73C0"/>
    <w:rsid w:val="006028FC"/>
    <w:rsid w:val="00602A6F"/>
    <w:rsid w:val="006054F9"/>
    <w:rsid w:val="006131FB"/>
    <w:rsid w:val="006137C7"/>
    <w:rsid w:val="00614111"/>
    <w:rsid w:val="00614798"/>
    <w:rsid w:val="0062037E"/>
    <w:rsid w:val="006203DD"/>
    <w:rsid w:val="00620BA3"/>
    <w:rsid w:val="006223C9"/>
    <w:rsid w:val="006236E4"/>
    <w:rsid w:val="00624B56"/>
    <w:rsid w:val="006251D4"/>
    <w:rsid w:val="00627385"/>
    <w:rsid w:val="00632154"/>
    <w:rsid w:val="006339EF"/>
    <w:rsid w:val="0064199F"/>
    <w:rsid w:val="00646D6B"/>
    <w:rsid w:val="00651EEF"/>
    <w:rsid w:val="0066122F"/>
    <w:rsid w:val="00661F26"/>
    <w:rsid w:val="00666B72"/>
    <w:rsid w:val="00667CB3"/>
    <w:rsid w:val="00671188"/>
    <w:rsid w:val="0067259C"/>
    <w:rsid w:val="00673167"/>
    <w:rsid w:val="006733EE"/>
    <w:rsid w:val="006744B8"/>
    <w:rsid w:val="00677844"/>
    <w:rsid w:val="006900B9"/>
    <w:rsid w:val="006903D3"/>
    <w:rsid w:val="006930A6"/>
    <w:rsid w:val="00695D00"/>
    <w:rsid w:val="0069673B"/>
    <w:rsid w:val="00697007"/>
    <w:rsid w:val="006974F5"/>
    <w:rsid w:val="006A009D"/>
    <w:rsid w:val="006A0832"/>
    <w:rsid w:val="006A618B"/>
    <w:rsid w:val="006B1CAF"/>
    <w:rsid w:val="006B2846"/>
    <w:rsid w:val="006B3F87"/>
    <w:rsid w:val="006B50EE"/>
    <w:rsid w:val="006B52CE"/>
    <w:rsid w:val="006B7388"/>
    <w:rsid w:val="006C17F2"/>
    <w:rsid w:val="006C185D"/>
    <w:rsid w:val="006C2519"/>
    <w:rsid w:val="006C3192"/>
    <w:rsid w:val="006C3A89"/>
    <w:rsid w:val="006D2169"/>
    <w:rsid w:val="006D68D6"/>
    <w:rsid w:val="006D7544"/>
    <w:rsid w:val="006E07D6"/>
    <w:rsid w:val="006E1114"/>
    <w:rsid w:val="006E6B1D"/>
    <w:rsid w:val="006E763C"/>
    <w:rsid w:val="006F3702"/>
    <w:rsid w:val="006F4994"/>
    <w:rsid w:val="006F5CA4"/>
    <w:rsid w:val="006F5D28"/>
    <w:rsid w:val="006F7000"/>
    <w:rsid w:val="006F7563"/>
    <w:rsid w:val="007008C5"/>
    <w:rsid w:val="007057D7"/>
    <w:rsid w:val="00705A9D"/>
    <w:rsid w:val="00705FCC"/>
    <w:rsid w:val="00710F26"/>
    <w:rsid w:val="007214AA"/>
    <w:rsid w:val="0072406D"/>
    <w:rsid w:val="007312C6"/>
    <w:rsid w:val="00740197"/>
    <w:rsid w:val="007425D6"/>
    <w:rsid w:val="0074494A"/>
    <w:rsid w:val="00745B79"/>
    <w:rsid w:val="0075023E"/>
    <w:rsid w:val="007530CA"/>
    <w:rsid w:val="00754060"/>
    <w:rsid w:val="00756D9D"/>
    <w:rsid w:val="007631A9"/>
    <w:rsid w:val="007635D7"/>
    <w:rsid w:val="0076374C"/>
    <w:rsid w:val="00763968"/>
    <w:rsid w:val="007640EB"/>
    <w:rsid w:val="00764E7A"/>
    <w:rsid w:val="00765B6D"/>
    <w:rsid w:val="00765D55"/>
    <w:rsid w:val="00766123"/>
    <w:rsid w:val="0077131D"/>
    <w:rsid w:val="00771D03"/>
    <w:rsid w:val="00772363"/>
    <w:rsid w:val="00772EE5"/>
    <w:rsid w:val="00777EC4"/>
    <w:rsid w:val="00782296"/>
    <w:rsid w:val="007865CD"/>
    <w:rsid w:val="00795F6A"/>
    <w:rsid w:val="0079637A"/>
    <w:rsid w:val="007A0AE4"/>
    <w:rsid w:val="007A2D8A"/>
    <w:rsid w:val="007A4FEC"/>
    <w:rsid w:val="007A68A6"/>
    <w:rsid w:val="007A73A5"/>
    <w:rsid w:val="007B0900"/>
    <w:rsid w:val="007B25A5"/>
    <w:rsid w:val="007B2A84"/>
    <w:rsid w:val="007B4577"/>
    <w:rsid w:val="007B65FA"/>
    <w:rsid w:val="007B6796"/>
    <w:rsid w:val="007C19CA"/>
    <w:rsid w:val="007C4387"/>
    <w:rsid w:val="007C6C88"/>
    <w:rsid w:val="007C6D8D"/>
    <w:rsid w:val="007D134A"/>
    <w:rsid w:val="007D1AD2"/>
    <w:rsid w:val="007D1C2F"/>
    <w:rsid w:val="007D40CF"/>
    <w:rsid w:val="007D69D4"/>
    <w:rsid w:val="007D6A05"/>
    <w:rsid w:val="007D7949"/>
    <w:rsid w:val="007E10D8"/>
    <w:rsid w:val="007E3B7B"/>
    <w:rsid w:val="007E3BE3"/>
    <w:rsid w:val="007F5236"/>
    <w:rsid w:val="007F7DB5"/>
    <w:rsid w:val="0080040D"/>
    <w:rsid w:val="008005A5"/>
    <w:rsid w:val="00801003"/>
    <w:rsid w:val="00805376"/>
    <w:rsid w:val="00805914"/>
    <w:rsid w:val="008104B5"/>
    <w:rsid w:val="00811FCA"/>
    <w:rsid w:val="00812039"/>
    <w:rsid w:val="00813328"/>
    <w:rsid w:val="008166B4"/>
    <w:rsid w:val="00816DBA"/>
    <w:rsid w:val="0082277D"/>
    <w:rsid w:val="00822FB7"/>
    <w:rsid w:val="00824306"/>
    <w:rsid w:val="00826CA1"/>
    <w:rsid w:val="00833512"/>
    <w:rsid w:val="00834830"/>
    <w:rsid w:val="00834EEA"/>
    <w:rsid w:val="00835990"/>
    <w:rsid w:val="00835B1C"/>
    <w:rsid w:val="00841686"/>
    <w:rsid w:val="008419DC"/>
    <w:rsid w:val="00843279"/>
    <w:rsid w:val="00843584"/>
    <w:rsid w:val="00844A68"/>
    <w:rsid w:val="00844ADF"/>
    <w:rsid w:val="008504F9"/>
    <w:rsid w:val="00855836"/>
    <w:rsid w:val="00857E2E"/>
    <w:rsid w:val="00862121"/>
    <w:rsid w:val="0086353E"/>
    <w:rsid w:val="00865736"/>
    <w:rsid w:val="00867EF4"/>
    <w:rsid w:val="00870E6A"/>
    <w:rsid w:val="00871C48"/>
    <w:rsid w:val="00872E67"/>
    <w:rsid w:val="0087537F"/>
    <w:rsid w:val="008806E6"/>
    <w:rsid w:val="00881670"/>
    <w:rsid w:val="00881C53"/>
    <w:rsid w:val="00885790"/>
    <w:rsid w:val="00892F2E"/>
    <w:rsid w:val="00892F8A"/>
    <w:rsid w:val="008964EA"/>
    <w:rsid w:val="008A16C4"/>
    <w:rsid w:val="008A32EF"/>
    <w:rsid w:val="008A4C0A"/>
    <w:rsid w:val="008A75C9"/>
    <w:rsid w:val="008A7C24"/>
    <w:rsid w:val="008B142B"/>
    <w:rsid w:val="008B1EBC"/>
    <w:rsid w:val="008B2B8D"/>
    <w:rsid w:val="008B4223"/>
    <w:rsid w:val="008B7ACB"/>
    <w:rsid w:val="008C1D84"/>
    <w:rsid w:val="008C47D8"/>
    <w:rsid w:val="008C5DE0"/>
    <w:rsid w:val="008C627F"/>
    <w:rsid w:val="008D147E"/>
    <w:rsid w:val="008D1762"/>
    <w:rsid w:val="008D2217"/>
    <w:rsid w:val="008D4628"/>
    <w:rsid w:val="008E05E9"/>
    <w:rsid w:val="008E356D"/>
    <w:rsid w:val="008F150E"/>
    <w:rsid w:val="008F2049"/>
    <w:rsid w:val="008F224D"/>
    <w:rsid w:val="008F32E3"/>
    <w:rsid w:val="008F3A67"/>
    <w:rsid w:val="008F6FE1"/>
    <w:rsid w:val="00900630"/>
    <w:rsid w:val="009011E4"/>
    <w:rsid w:val="00903033"/>
    <w:rsid w:val="009047C7"/>
    <w:rsid w:val="00905CDD"/>
    <w:rsid w:val="00906BAB"/>
    <w:rsid w:val="00907D84"/>
    <w:rsid w:val="009122DC"/>
    <w:rsid w:val="00912982"/>
    <w:rsid w:val="00914846"/>
    <w:rsid w:val="00917DA0"/>
    <w:rsid w:val="00922A8E"/>
    <w:rsid w:val="0092430D"/>
    <w:rsid w:val="00926396"/>
    <w:rsid w:val="009376CA"/>
    <w:rsid w:val="009418BE"/>
    <w:rsid w:val="009460CF"/>
    <w:rsid w:val="0094614E"/>
    <w:rsid w:val="00946ACB"/>
    <w:rsid w:val="009509A8"/>
    <w:rsid w:val="00951AFE"/>
    <w:rsid w:val="009528B4"/>
    <w:rsid w:val="00957A18"/>
    <w:rsid w:val="00957F64"/>
    <w:rsid w:val="0096068A"/>
    <w:rsid w:val="00965144"/>
    <w:rsid w:val="009657CE"/>
    <w:rsid w:val="00970B08"/>
    <w:rsid w:val="00975F9D"/>
    <w:rsid w:val="0098057C"/>
    <w:rsid w:val="00987855"/>
    <w:rsid w:val="009914AD"/>
    <w:rsid w:val="009920A0"/>
    <w:rsid w:val="0099278D"/>
    <w:rsid w:val="00995062"/>
    <w:rsid w:val="009958AA"/>
    <w:rsid w:val="00996B52"/>
    <w:rsid w:val="009A0CD0"/>
    <w:rsid w:val="009A230E"/>
    <w:rsid w:val="009A25BB"/>
    <w:rsid w:val="009A355A"/>
    <w:rsid w:val="009A607B"/>
    <w:rsid w:val="009A6DFD"/>
    <w:rsid w:val="009B34B4"/>
    <w:rsid w:val="009B467A"/>
    <w:rsid w:val="009B482C"/>
    <w:rsid w:val="009B6BF4"/>
    <w:rsid w:val="009C19B5"/>
    <w:rsid w:val="009C1AD3"/>
    <w:rsid w:val="009C7410"/>
    <w:rsid w:val="009E09B3"/>
    <w:rsid w:val="009E13D3"/>
    <w:rsid w:val="009E1976"/>
    <w:rsid w:val="009E3161"/>
    <w:rsid w:val="009E38A6"/>
    <w:rsid w:val="009E3ADD"/>
    <w:rsid w:val="009E458B"/>
    <w:rsid w:val="009E57FC"/>
    <w:rsid w:val="009E6626"/>
    <w:rsid w:val="009F1DE0"/>
    <w:rsid w:val="009F485A"/>
    <w:rsid w:val="00A003B2"/>
    <w:rsid w:val="00A007BC"/>
    <w:rsid w:val="00A0306B"/>
    <w:rsid w:val="00A05343"/>
    <w:rsid w:val="00A0551A"/>
    <w:rsid w:val="00A06051"/>
    <w:rsid w:val="00A10B72"/>
    <w:rsid w:val="00A118AA"/>
    <w:rsid w:val="00A12265"/>
    <w:rsid w:val="00A126CF"/>
    <w:rsid w:val="00A12E23"/>
    <w:rsid w:val="00A201F7"/>
    <w:rsid w:val="00A262A9"/>
    <w:rsid w:val="00A274EE"/>
    <w:rsid w:val="00A30A27"/>
    <w:rsid w:val="00A32905"/>
    <w:rsid w:val="00A34E68"/>
    <w:rsid w:val="00A35DAD"/>
    <w:rsid w:val="00A36620"/>
    <w:rsid w:val="00A379E1"/>
    <w:rsid w:val="00A4196D"/>
    <w:rsid w:val="00A442DE"/>
    <w:rsid w:val="00A464C9"/>
    <w:rsid w:val="00A52568"/>
    <w:rsid w:val="00A528BD"/>
    <w:rsid w:val="00A67A18"/>
    <w:rsid w:val="00A67B05"/>
    <w:rsid w:val="00A7052D"/>
    <w:rsid w:val="00A7123B"/>
    <w:rsid w:val="00A80D0A"/>
    <w:rsid w:val="00A83E96"/>
    <w:rsid w:val="00A841B8"/>
    <w:rsid w:val="00A85B22"/>
    <w:rsid w:val="00A863F4"/>
    <w:rsid w:val="00A864B0"/>
    <w:rsid w:val="00A92A46"/>
    <w:rsid w:val="00A9371A"/>
    <w:rsid w:val="00A93FB1"/>
    <w:rsid w:val="00A94BFA"/>
    <w:rsid w:val="00AA0DED"/>
    <w:rsid w:val="00AA0EAD"/>
    <w:rsid w:val="00AB0CFA"/>
    <w:rsid w:val="00AB3455"/>
    <w:rsid w:val="00AB65A2"/>
    <w:rsid w:val="00AC07E2"/>
    <w:rsid w:val="00AC07FC"/>
    <w:rsid w:val="00AC59BA"/>
    <w:rsid w:val="00AC5CF8"/>
    <w:rsid w:val="00AC7DFA"/>
    <w:rsid w:val="00AD00E0"/>
    <w:rsid w:val="00AD3323"/>
    <w:rsid w:val="00AD661E"/>
    <w:rsid w:val="00AD6CE0"/>
    <w:rsid w:val="00AD7F54"/>
    <w:rsid w:val="00AE203B"/>
    <w:rsid w:val="00AE4427"/>
    <w:rsid w:val="00AE4BC8"/>
    <w:rsid w:val="00AE67F8"/>
    <w:rsid w:val="00AE78AE"/>
    <w:rsid w:val="00AF0F7C"/>
    <w:rsid w:val="00AF3A7C"/>
    <w:rsid w:val="00AF3D68"/>
    <w:rsid w:val="00B0428B"/>
    <w:rsid w:val="00B11EFD"/>
    <w:rsid w:val="00B1313F"/>
    <w:rsid w:val="00B144B3"/>
    <w:rsid w:val="00B14702"/>
    <w:rsid w:val="00B171CE"/>
    <w:rsid w:val="00B17FC2"/>
    <w:rsid w:val="00B21F61"/>
    <w:rsid w:val="00B2268D"/>
    <w:rsid w:val="00B226AD"/>
    <w:rsid w:val="00B23303"/>
    <w:rsid w:val="00B311B1"/>
    <w:rsid w:val="00B3122A"/>
    <w:rsid w:val="00B35D65"/>
    <w:rsid w:val="00B37799"/>
    <w:rsid w:val="00B47160"/>
    <w:rsid w:val="00B52216"/>
    <w:rsid w:val="00B5286F"/>
    <w:rsid w:val="00B57F77"/>
    <w:rsid w:val="00B6345F"/>
    <w:rsid w:val="00B65E9A"/>
    <w:rsid w:val="00B66130"/>
    <w:rsid w:val="00B6638B"/>
    <w:rsid w:val="00B70000"/>
    <w:rsid w:val="00B774B9"/>
    <w:rsid w:val="00B81E62"/>
    <w:rsid w:val="00B84EB6"/>
    <w:rsid w:val="00B86324"/>
    <w:rsid w:val="00B911CD"/>
    <w:rsid w:val="00B91A7C"/>
    <w:rsid w:val="00B933B2"/>
    <w:rsid w:val="00B94866"/>
    <w:rsid w:val="00B95569"/>
    <w:rsid w:val="00B963F5"/>
    <w:rsid w:val="00BA162C"/>
    <w:rsid w:val="00BA2312"/>
    <w:rsid w:val="00BA2A14"/>
    <w:rsid w:val="00BA3C5A"/>
    <w:rsid w:val="00BA5238"/>
    <w:rsid w:val="00BB0B08"/>
    <w:rsid w:val="00BB17ED"/>
    <w:rsid w:val="00BB4F92"/>
    <w:rsid w:val="00BB7A79"/>
    <w:rsid w:val="00BC10F9"/>
    <w:rsid w:val="00BC19CF"/>
    <w:rsid w:val="00BC2875"/>
    <w:rsid w:val="00BD130E"/>
    <w:rsid w:val="00BD2C88"/>
    <w:rsid w:val="00BD594C"/>
    <w:rsid w:val="00BE2856"/>
    <w:rsid w:val="00BE463E"/>
    <w:rsid w:val="00BE6199"/>
    <w:rsid w:val="00BF1FFF"/>
    <w:rsid w:val="00BF2E42"/>
    <w:rsid w:val="00C0033D"/>
    <w:rsid w:val="00C00E8A"/>
    <w:rsid w:val="00C10470"/>
    <w:rsid w:val="00C20238"/>
    <w:rsid w:val="00C235B9"/>
    <w:rsid w:val="00C307E0"/>
    <w:rsid w:val="00C318BA"/>
    <w:rsid w:val="00C327B5"/>
    <w:rsid w:val="00C3326C"/>
    <w:rsid w:val="00C36D9C"/>
    <w:rsid w:val="00C41D76"/>
    <w:rsid w:val="00C42240"/>
    <w:rsid w:val="00C43D85"/>
    <w:rsid w:val="00C43F52"/>
    <w:rsid w:val="00C53805"/>
    <w:rsid w:val="00C61D30"/>
    <w:rsid w:val="00C638FF"/>
    <w:rsid w:val="00C64677"/>
    <w:rsid w:val="00C64FAB"/>
    <w:rsid w:val="00C74BB2"/>
    <w:rsid w:val="00C74EC8"/>
    <w:rsid w:val="00C753AD"/>
    <w:rsid w:val="00C76782"/>
    <w:rsid w:val="00C77A21"/>
    <w:rsid w:val="00C801DC"/>
    <w:rsid w:val="00C81401"/>
    <w:rsid w:val="00C955CC"/>
    <w:rsid w:val="00C978F5"/>
    <w:rsid w:val="00CA0416"/>
    <w:rsid w:val="00CA0E15"/>
    <w:rsid w:val="00CA1314"/>
    <w:rsid w:val="00CA1A6B"/>
    <w:rsid w:val="00CA3386"/>
    <w:rsid w:val="00CA3603"/>
    <w:rsid w:val="00CA68BC"/>
    <w:rsid w:val="00CA7F38"/>
    <w:rsid w:val="00CB1921"/>
    <w:rsid w:val="00CB2E14"/>
    <w:rsid w:val="00CB2E6D"/>
    <w:rsid w:val="00CB3540"/>
    <w:rsid w:val="00CC12E1"/>
    <w:rsid w:val="00CC2089"/>
    <w:rsid w:val="00CC504E"/>
    <w:rsid w:val="00CC6FCC"/>
    <w:rsid w:val="00CC77DC"/>
    <w:rsid w:val="00CC7D72"/>
    <w:rsid w:val="00CD0BE9"/>
    <w:rsid w:val="00CD62C7"/>
    <w:rsid w:val="00CE0DE4"/>
    <w:rsid w:val="00CE5AB5"/>
    <w:rsid w:val="00CF35E3"/>
    <w:rsid w:val="00CF360C"/>
    <w:rsid w:val="00D02B2A"/>
    <w:rsid w:val="00D03CA5"/>
    <w:rsid w:val="00D04B56"/>
    <w:rsid w:val="00D07346"/>
    <w:rsid w:val="00D079B8"/>
    <w:rsid w:val="00D12017"/>
    <w:rsid w:val="00D13438"/>
    <w:rsid w:val="00D14D42"/>
    <w:rsid w:val="00D17E4A"/>
    <w:rsid w:val="00D2214C"/>
    <w:rsid w:val="00D24D35"/>
    <w:rsid w:val="00D26D1A"/>
    <w:rsid w:val="00D3275F"/>
    <w:rsid w:val="00D33155"/>
    <w:rsid w:val="00D33827"/>
    <w:rsid w:val="00D375AA"/>
    <w:rsid w:val="00D41C34"/>
    <w:rsid w:val="00D43941"/>
    <w:rsid w:val="00D46AA9"/>
    <w:rsid w:val="00D476EE"/>
    <w:rsid w:val="00D551BF"/>
    <w:rsid w:val="00D55998"/>
    <w:rsid w:val="00D56672"/>
    <w:rsid w:val="00D5675D"/>
    <w:rsid w:val="00D573B8"/>
    <w:rsid w:val="00D57452"/>
    <w:rsid w:val="00D62900"/>
    <w:rsid w:val="00D64DC4"/>
    <w:rsid w:val="00D67233"/>
    <w:rsid w:val="00D67300"/>
    <w:rsid w:val="00D67D4D"/>
    <w:rsid w:val="00D704C0"/>
    <w:rsid w:val="00D7203A"/>
    <w:rsid w:val="00D73370"/>
    <w:rsid w:val="00D7374C"/>
    <w:rsid w:val="00D75936"/>
    <w:rsid w:val="00D8043B"/>
    <w:rsid w:val="00D853F4"/>
    <w:rsid w:val="00D86834"/>
    <w:rsid w:val="00D9019E"/>
    <w:rsid w:val="00D923DC"/>
    <w:rsid w:val="00D94556"/>
    <w:rsid w:val="00D95C6D"/>
    <w:rsid w:val="00D9638A"/>
    <w:rsid w:val="00D97BE2"/>
    <w:rsid w:val="00DA005F"/>
    <w:rsid w:val="00DA046B"/>
    <w:rsid w:val="00DA28FC"/>
    <w:rsid w:val="00DA301D"/>
    <w:rsid w:val="00DA5D44"/>
    <w:rsid w:val="00DA7944"/>
    <w:rsid w:val="00DB00CD"/>
    <w:rsid w:val="00DB0637"/>
    <w:rsid w:val="00DB2F53"/>
    <w:rsid w:val="00DB7246"/>
    <w:rsid w:val="00DC12EA"/>
    <w:rsid w:val="00DC2EE5"/>
    <w:rsid w:val="00DC542A"/>
    <w:rsid w:val="00DC6582"/>
    <w:rsid w:val="00DC79DF"/>
    <w:rsid w:val="00DD3332"/>
    <w:rsid w:val="00DD6A3F"/>
    <w:rsid w:val="00DD72A7"/>
    <w:rsid w:val="00DE10B4"/>
    <w:rsid w:val="00DE1AEF"/>
    <w:rsid w:val="00DE3FE8"/>
    <w:rsid w:val="00DE5E92"/>
    <w:rsid w:val="00DE6880"/>
    <w:rsid w:val="00DE689A"/>
    <w:rsid w:val="00DE69FC"/>
    <w:rsid w:val="00DF3A7E"/>
    <w:rsid w:val="00DF3A7F"/>
    <w:rsid w:val="00DF3B10"/>
    <w:rsid w:val="00DF6E74"/>
    <w:rsid w:val="00DF7A2C"/>
    <w:rsid w:val="00E011D8"/>
    <w:rsid w:val="00E01E62"/>
    <w:rsid w:val="00E101E7"/>
    <w:rsid w:val="00E10BF3"/>
    <w:rsid w:val="00E1240D"/>
    <w:rsid w:val="00E124E9"/>
    <w:rsid w:val="00E151F7"/>
    <w:rsid w:val="00E256F3"/>
    <w:rsid w:val="00E25796"/>
    <w:rsid w:val="00E26AD5"/>
    <w:rsid w:val="00E27D5C"/>
    <w:rsid w:val="00E35841"/>
    <w:rsid w:val="00E3648E"/>
    <w:rsid w:val="00E37631"/>
    <w:rsid w:val="00E40CF9"/>
    <w:rsid w:val="00E411D2"/>
    <w:rsid w:val="00E41E7A"/>
    <w:rsid w:val="00E44B45"/>
    <w:rsid w:val="00E509A6"/>
    <w:rsid w:val="00E52AFF"/>
    <w:rsid w:val="00E53723"/>
    <w:rsid w:val="00E54ACE"/>
    <w:rsid w:val="00E55184"/>
    <w:rsid w:val="00E5525E"/>
    <w:rsid w:val="00E55453"/>
    <w:rsid w:val="00E571F6"/>
    <w:rsid w:val="00E60FB1"/>
    <w:rsid w:val="00E61D6B"/>
    <w:rsid w:val="00E61D7A"/>
    <w:rsid w:val="00E63377"/>
    <w:rsid w:val="00E640B2"/>
    <w:rsid w:val="00E705EB"/>
    <w:rsid w:val="00E70748"/>
    <w:rsid w:val="00E7177F"/>
    <w:rsid w:val="00E80894"/>
    <w:rsid w:val="00E81D34"/>
    <w:rsid w:val="00E83FDE"/>
    <w:rsid w:val="00E85ACD"/>
    <w:rsid w:val="00E87387"/>
    <w:rsid w:val="00E90DA9"/>
    <w:rsid w:val="00EA11A5"/>
    <w:rsid w:val="00EA270B"/>
    <w:rsid w:val="00EA573D"/>
    <w:rsid w:val="00EA7030"/>
    <w:rsid w:val="00EA7A46"/>
    <w:rsid w:val="00EA7F00"/>
    <w:rsid w:val="00EB1B8F"/>
    <w:rsid w:val="00EB3F76"/>
    <w:rsid w:val="00EB4D50"/>
    <w:rsid w:val="00EB57AB"/>
    <w:rsid w:val="00EC0A4A"/>
    <w:rsid w:val="00EC1BFB"/>
    <w:rsid w:val="00EC2815"/>
    <w:rsid w:val="00ED474B"/>
    <w:rsid w:val="00ED6001"/>
    <w:rsid w:val="00ED6436"/>
    <w:rsid w:val="00ED7ED2"/>
    <w:rsid w:val="00EE50D2"/>
    <w:rsid w:val="00EF1E32"/>
    <w:rsid w:val="00EF2ABE"/>
    <w:rsid w:val="00EF3BC8"/>
    <w:rsid w:val="00EF43C2"/>
    <w:rsid w:val="00EF5E9A"/>
    <w:rsid w:val="00EF5FDD"/>
    <w:rsid w:val="00F01CBD"/>
    <w:rsid w:val="00F050BC"/>
    <w:rsid w:val="00F0558D"/>
    <w:rsid w:val="00F07411"/>
    <w:rsid w:val="00F07980"/>
    <w:rsid w:val="00F10C9E"/>
    <w:rsid w:val="00F11670"/>
    <w:rsid w:val="00F20674"/>
    <w:rsid w:val="00F21DF8"/>
    <w:rsid w:val="00F230DB"/>
    <w:rsid w:val="00F2372E"/>
    <w:rsid w:val="00F3614E"/>
    <w:rsid w:val="00F361B8"/>
    <w:rsid w:val="00F40FB3"/>
    <w:rsid w:val="00F445CB"/>
    <w:rsid w:val="00F45378"/>
    <w:rsid w:val="00F46C31"/>
    <w:rsid w:val="00F470A0"/>
    <w:rsid w:val="00F471D1"/>
    <w:rsid w:val="00F52A12"/>
    <w:rsid w:val="00F53A46"/>
    <w:rsid w:val="00F55AAB"/>
    <w:rsid w:val="00F56C3B"/>
    <w:rsid w:val="00F61C07"/>
    <w:rsid w:val="00F6694B"/>
    <w:rsid w:val="00F716FF"/>
    <w:rsid w:val="00F71719"/>
    <w:rsid w:val="00F74EAF"/>
    <w:rsid w:val="00F769C9"/>
    <w:rsid w:val="00F76A7D"/>
    <w:rsid w:val="00F7786E"/>
    <w:rsid w:val="00F80C4E"/>
    <w:rsid w:val="00F83421"/>
    <w:rsid w:val="00F8428C"/>
    <w:rsid w:val="00F8657B"/>
    <w:rsid w:val="00F87BBF"/>
    <w:rsid w:val="00F92793"/>
    <w:rsid w:val="00F93159"/>
    <w:rsid w:val="00F9619F"/>
    <w:rsid w:val="00FA16AE"/>
    <w:rsid w:val="00FA6DEC"/>
    <w:rsid w:val="00FA79F8"/>
    <w:rsid w:val="00FB1363"/>
    <w:rsid w:val="00FB333F"/>
    <w:rsid w:val="00FB4798"/>
    <w:rsid w:val="00FB5237"/>
    <w:rsid w:val="00FC04ED"/>
    <w:rsid w:val="00FC07C4"/>
    <w:rsid w:val="00FC08A6"/>
    <w:rsid w:val="00FC1008"/>
    <w:rsid w:val="00FC102A"/>
    <w:rsid w:val="00FC1F25"/>
    <w:rsid w:val="00FC2892"/>
    <w:rsid w:val="00FC29AF"/>
    <w:rsid w:val="00FC2DA1"/>
    <w:rsid w:val="00FC4554"/>
    <w:rsid w:val="00FC6815"/>
    <w:rsid w:val="00FD1DF0"/>
    <w:rsid w:val="00FD2040"/>
    <w:rsid w:val="00FD2B36"/>
    <w:rsid w:val="00FD3D32"/>
    <w:rsid w:val="00FD5419"/>
    <w:rsid w:val="00FD783F"/>
    <w:rsid w:val="00FE0972"/>
    <w:rsid w:val="00FE3B69"/>
    <w:rsid w:val="00FE42EF"/>
    <w:rsid w:val="00FE4890"/>
    <w:rsid w:val="00FE5389"/>
    <w:rsid w:val="00FF0AC4"/>
    <w:rsid w:val="00FF491A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BDB22"/>
  <w15:docId w15:val="{31AB6889-F520-496F-A461-B8407E64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47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F06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F06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1957"/>
    <w:rPr>
      <w:color w:val="0000FF"/>
      <w:u w:val="single"/>
    </w:rPr>
  </w:style>
  <w:style w:type="table" w:styleId="TableGrid">
    <w:name w:val="Table Grid"/>
    <w:basedOn w:val="TableNormal"/>
    <w:rsid w:val="0054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559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5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5998"/>
  </w:style>
  <w:style w:type="paragraph" w:styleId="CommentSubject">
    <w:name w:val="annotation subject"/>
    <w:basedOn w:val="CommentText"/>
    <w:next w:val="CommentText"/>
    <w:link w:val="CommentSubjectChar"/>
    <w:rsid w:val="00D55998"/>
    <w:rPr>
      <w:b/>
      <w:bCs/>
    </w:rPr>
  </w:style>
  <w:style w:type="character" w:customStyle="1" w:styleId="CommentSubjectChar">
    <w:name w:val="Comment Subject Char"/>
    <w:link w:val="CommentSubject"/>
    <w:rsid w:val="00D55998"/>
    <w:rPr>
      <w:b/>
      <w:bCs/>
    </w:rPr>
  </w:style>
  <w:style w:type="paragraph" w:styleId="BalloonText">
    <w:name w:val="Balloon Text"/>
    <w:basedOn w:val="Normal"/>
    <w:link w:val="BalloonTextChar"/>
    <w:rsid w:val="00D55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998"/>
    <w:rPr>
      <w:rFonts w:ascii="Tahoma" w:hAnsi="Tahoma" w:cs="Tahoma"/>
      <w:sz w:val="16"/>
      <w:szCs w:val="16"/>
    </w:rPr>
  </w:style>
  <w:style w:type="table" w:styleId="TableClassic2">
    <w:name w:val="Table Classic 2"/>
    <w:basedOn w:val="TableNormal"/>
    <w:rsid w:val="00D672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672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Bullet">
    <w:name w:val="List Bullet"/>
    <w:basedOn w:val="Normal"/>
    <w:rsid w:val="00D67233"/>
    <w:pPr>
      <w:numPr>
        <w:numId w:val="4"/>
      </w:numPr>
      <w:contextualSpacing/>
    </w:pPr>
  </w:style>
  <w:style w:type="character" w:customStyle="1" w:styleId="Heading1Char">
    <w:name w:val="Heading 1 Char"/>
    <w:link w:val="Heading1"/>
    <w:rsid w:val="008C47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rsid w:val="006744B8"/>
    <w:rPr>
      <w:color w:val="800080"/>
      <w:u w:val="single"/>
    </w:rPr>
  </w:style>
  <w:style w:type="character" w:styleId="Emphasis">
    <w:name w:val="Emphasis"/>
    <w:uiPriority w:val="20"/>
    <w:qFormat/>
    <w:rsid w:val="001371BC"/>
    <w:rPr>
      <w:i/>
      <w:iCs/>
    </w:rPr>
  </w:style>
  <w:style w:type="character" w:styleId="Strong">
    <w:name w:val="Strong"/>
    <w:uiPriority w:val="22"/>
    <w:qFormat/>
    <w:rsid w:val="001371BC"/>
    <w:rPr>
      <w:b/>
      <w:bCs/>
    </w:rPr>
  </w:style>
  <w:style w:type="paragraph" w:styleId="FootnoteText">
    <w:name w:val="footnote text"/>
    <w:basedOn w:val="Normal"/>
    <w:link w:val="FootnoteTextChar"/>
    <w:rsid w:val="000467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6790"/>
  </w:style>
  <w:style w:type="character" w:styleId="FootnoteReference">
    <w:name w:val="footnote reference"/>
    <w:rsid w:val="00046790"/>
    <w:rPr>
      <w:vertAlign w:val="superscript"/>
    </w:rPr>
  </w:style>
  <w:style w:type="character" w:customStyle="1" w:styleId="Heading2Char">
    <w:name w:val="Heading 2 Char"/>
    <w:link w:val="Heading2"/>
    <w:rsid w:val="001F06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F06BF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7723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23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4F4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9243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2430D"/>
  </w:style>
  <w:style w:type="character" w:styleId="EndnoteReference">
    <w:name w:val="endnote reference"/>
    <w:basedOn w:val="DefaultParagraphFont"/>
    <w:rsid w:val="0092430D"/>
    <w:rPr>
      <w:vertAlign w:val="superscript"/>
    </w:rPr>
  </w:style>
  <w:style w:type="table" w:styleId="MediumList2-Accent1">
    <w:name w:val="Medium List 2 Accent 1"/>
    <w:basedOn w:val="TableNormal"/>
    <w:uiPriority w:val="66"/>
    <w:rsid w:val="00FD3D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DB7246"/>
    <w:rPr>
      <w:sz w:val="24"/>
      <w:szCs w:val="24"/>
    </w:rPr>
  </w:style>
  <w:style w:type="paragraph" w:styleId="Header">
    <w:name w:val="header"/>
    <w:basedOn w:val="Normal"/>
    <w:link w:val="HeaderChar"/>
    <w:rsid w:val="00DC5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54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5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42A"/>
    <w:rPr>
      <w:sz w:val="24"/>
      <w:szCs w:val="24"/>
    </w:rPr>
  </w:style>
  <w:style w:type="table" w:styleId="MediumList1-Accent5">
    <w:name w:val="Medium List 1 Accent 5"/>
    <w:basedOn w:val="TableNormal"/>
    <w:uiPriority w:val="65"/>
    <w:rsid w:val="00EA703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7518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3365">
                      <w:marLeft w:val="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359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7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2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9E9E9"/>
                                        <w:left w:val="single" w:sz="6" w:space="0" w:color="E9E9E9"/>
                                        <w:bottom w:val="single" w:sz="6" w:space="0" w:color="E9E9E9"/>
                                        <w:right w:val="single" w:sz="6" w:space="0" w:color="E9E9E9"/>
                                      </w:divBdr>
                                      <w:divsChild>
                                        <w:div w:id="161050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5E5E5"/>
                                                <w:left w:val="single" w:sz="6" w:space="11" w:color="E5E5E5"/>
                                                <w:bottom w:val="single" w:sz="6" w:space="8" w:color="E5E5E5"/>
                                                <w:right w:val="single" w:sz="6" w:space="11" w:color="E5E5E5"/>
                                              </w:divBdr>
                                              <w:divsChild>
                                                <w:div w:id="146376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00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61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dmx.org/wp-content/uploads/CL_CONF_STATUS_1_2_2018.docx" TargetMode="External"/><Relationship Id="rId1" Type="http://schemas.openxmlformats.org/officeDocument/2006/relationships/hyperlink" Target="https://sdmx.org/wp-content/uploads/CL_CONF_STATUS_1_2_201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BE92BA368B6429DF49E13BC934722" ma:contentTypeVersion="0" ma:contentTypeDescription="Create a new document." ma:contentTypeScope="" ma:versionID="b34918f99a644df5520f4c3fa7a895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5f55df75ab59a4e750d689a2b5da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2B32-3591-4BFF-8048-5C6EE724F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74BBE8-A3E4-47CE-BDEE-C2429FA1E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D604B-427D-4C64-AFCE-8DE7EED5EB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1664F3-CFF8-4C04-B50B-7E02B450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1576</Words>
  <Characters>9440</Characters>
  <Application>Microsoft Office Word</Application>
  <DocSecurity>4</DocSecurity>
  <Lines>277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confidentiality and embargo in SDMX - Proposal</vt:lpstr>
    </vt:vector>
  </TitlesOfParts>
  <Company>European Commission</Company>
  <LinksUpToDate>false</LinksUpToDate>
  <CharactersWithSpaces>10893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confidentiality and embargo in SDMX - Proposal</dc:title>
  <dc:creator>BARRACLOUGH David</dc:creator>
  <cp:lastModifiedBy>DELCAMBRE Danny (ESTAT)</cp:lastModifiedBy>
  <cp:revision>2</cp:revision>
  <cp:lastPrinted>2015-07-13T07:27:00Z</cp:lastPrinted>
  <dcterms:created xsi:type="dcterms:W3CDTF">2018-04-09T08:24:00Z</dcterms:created>
  <dcterms:modified xsi:type="dcterms:W3CDTF">2018-04-09T08:24:00Z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0x01010036DBE92BA368B6429DF49E13BC934722</vt:lpwstr>
  </property>
</Properties>
</file>